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napToGrid w:val="0"/>
        <w:jc w:val="center"/>
        <w:textAlignment w:val="center"/>
        <w:rPr>
          <w:rFonts w:ascii="楷体" w:eastAsia="楷体" w:cs="楷体" w:hAnsi="楷体" w:hint="eastAsia"/>
          <w:b w:val="0"/>
          <w:bCs/>
          <w:i w:val="0"/>
          <w:iCs w:val="0"/>
          <w:kern w:val="0"/>
          <w:sz w:val="32"/>
          <w:szCs w:val="32"/>
          <w:lang w:eastAsia="zh-CN"/>
        </w:rPr>
      </w:pPr>
      <w:bookmarkStart w:id="0" w:name="_GoBack"/>
      <w:bookmarkEnd w:id="0"/>
    </w:p>
    <w:tbl>
      <w:tblPr>
        <w:jc w:val="center"/>
        <w:tblW w:w="140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4125"/>
        <w:gridCol w:w="5004"/>
        <w:gridCol w:w="4026"/>
      </w:tblGrid>
      <w:tr>
        <w:trPr>
          <w:trHeight w:val="699"/>
          <w:tblHeader/>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序号</w:t>
            </w: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企业名称</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申请事项</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kern w:val="0"/>
                <w:sz w:val="24"/>
              </w:rPr>
            </w:pPr>
            <w:r>
              <w:rPr>
                <w:rFonts w:ascii="宋体" w:cs="宋体" w:hAnsi="宋体" w:hint="eastAsia"/>
                <w:b/>
                <w:kern w:val="0"/>
                <w:sz w:val="24"/>
              </w:rPr>
              <w:t>审查结果</w:t>
            </w:r>
          </w:p>
        </w:tc>
      </w:tr>
      <w:tr>
        <w:trPr>
          <w:trHeight w:val="1933"/>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建平禹兴水利水电工程有限公司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eastAsia="zh-CN"/>
              </w:rPr>
              <w:t>业绩</w:t>
            </w:r>
            <w:r>
              <w:rPr>
                <w:rFonts w:ascii="仿宋_GB2312" w:eastAsia="仿宋_GB2312" w:cs="仿宋_GB2312" w:hAnsi="仿宋_GB2312" w:hint="eastAsia"/>
                <w:bCs/>
                <w:color w:val="000000"/>
                <w:kern w:val="0"/>
                <w:sz w:val="24"/>
                <w:szCs w:val="24"/>
                <w:lang w:val="en-US" w:eastAsia="zh-CN"/>
              </w:rPr>
              <w:t>1、2的工程规模、单项合同金额均不符合资质要求。</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3776"/>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辽宁昌兴水利建筑工程有限公司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业绩</w:t>
            </w:r>
            <w:r>
              <w:rPr>
                <w:rFonts w:ascii="仿宋_GB2312" w:eastAsia="仿宋_GB2312" w:cs="仿宋_GB2312" w:hAnsi="仿宋_GB2312" w:hint="eastAsia"/>
                <w:bCs/>
                <w:color w:val="000000"/>
                <w:kern w:val="0"/>
                <w:sz w:val="24"/>
                <w:szCs w:val="24"/>
                <w:lang w:val="en-US" w:eastAsia="zh-CN"/>
              </w:rPr>
              <w:t>1、2</w:t>
            </w:r>
            <w:r>
              <w:rPr>
                <w:rFonts w:ascii="仿宋_GB2312" w:eastAsia="仿宋_GB2312" w:cs="仿宋_GB2312" w:hAnsi="仿宋_GB2312" w:hint="eastAsia"/>
                <w:bCs/>
                <w:color w:val="000000"/>
                <w:kern w:val="0"/>
                <w:sz w:val="24"/>
                <w:szCs w:val="24"/>
                <w:lang w:eastAsia="zh-CN"/>
              </w:rPr>
              <w:t>的</w:t>
            </w:r>
            <w:r>
              <w:rPr>
                <w:rFonts w:ascii="仿宋_GB2312" w:eastAsia="仿宋_GB2312" w:cs="仿宋_GB2312" w:hAnsi="仿宋_GB2312" w:hint="eastAsia"/>
                <w:bCs/>
                <w:color w:val="000000"/>
                <w:kern w:val="0"/>
                <w:sz w:val="24"/>
                <w:szCs w:val="24"/>
              </w:rPr>
              <w:t>申报材料</w:t>
            </w:r>
            <w:r>
              <w:rPr>
                <w:rFonts w:ascii="仿宋_GB2312" w:eastAsia="仿宋_GB2312" w:cs="仿宋_GB2312" w:hAnsi="仿宋_GB2312" w:hint="eastAsia"/>
                <w:bCs/>
                <w:color w:val="000000"/>
                <w:kern w:val="0"/>
                <w:sz w:val="24"/>
                <w:szCs w:val="24"/>
                <w:lang w:eastAsia="zh-CN"/>
              </w:rPr>
              <w:t>中</w:t>
            </w:r>
            <w:r>
              <w:rPr>
                <w:rFonts w:ascii="仿宋_GB2312" w:eastAsia="仿宋_GB2312" w:cs="仿宋_GB2312" w:hAnsi="仿宋_GB2312" w:hint="eastAsia"/>
                <w:bCs/>
                <w:color w:val="000000"/>
                <w:kern w:val="0"/>
                <w:sz w:val="24"/>
                <w:szCs w:val="24"/>
              </w:rPr>
              <w:t>合同完工鉴定书时间与水行政主管部门证明</w:t>
            </w:r>
            <w:r>
              <w:rPr>
                <w:rFonts w:ascii="仿宋_GB2312" w:eastAsia="仿宋_GB2312" w:cs="仿宋_GB2312" w:hAnsi="仿宋_GB2312" w:hint="eastAsia"/>
                <w:bCs/>
                <w:color w:val="000000"/>
                <w:kern w:val="0"/>
                <w:sz w:val="24"/>
                <w:szCs w:val="24"/>
                <w:lang w:eastAsia="zh-CN"/>
              </w:rPr>
              <w:t>材料</w:t>
            </w:r>
            <w:r>
              <w:rPr>
                <w:rFonts w:ascii="仿宋_GB2312" w:eastAsia="仿宋_GB2312" w:cs="仿宋_GB2312" w:hAnsi="仿宋_GB2312" w:hint="eastAsia"/>
                <w:bCs/>
                <w:color w:val="000000"/>
                <w:kern w:val="0"/>
                <w:sz w:val="24"/>
                <w:szCs w:val="24"/>
              </w:rPr>
              <w:t>不一致，业绩存疑</w:t>
            </w:r>
            <w:r>
              <w:rPr>
                <w:rFonts w:ascii="仿宋_GB2312" w:eastAsia="仿宋_GB2312" w:cs="仿宋_GB2312" w:hAnsi="仿宋_GB2312" w:hint="eastAsia"/>
                <w:bCs/>
                <w:color w:val="000000"/>
                <w:kern w:val="0"/>
                <w:sz w:val="24"/>
                <w:szCs w:val="24"/>
                <w:lang w:eastAsia="zh-CN"/>
              </w:rPr>
              <w:t>。</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中级以上职称人员中全国水利监管平台显示李某清、王某、佟某鑫三人目前已从企业离职。</w:t>
            </w:r>
          </w:p>
          <w:p>
            <w:pPr>
              <w:widowControl/>
              <w:snapToGrid w:val="0"/>
              <w:jc w:val="left"/>
              <w:textAlignment w:val="center"/>
              <w:rPr>
                <w:rFonts w:ascii="仿宋_GB2312" w:eastAsia="仿宋_GB2312" w:cs="仿宋_GB2312" w:hAnsi="仿宋_GB2312" w:hint="eastAsia"/>
                <w:bCs/>
                <w:color w:val="000000"/>
                <w:kern w:val="0"/>
                <w:sz w:val="24"/>
                <w:szCs w:val="24"/>
              </w:rPr>
            </w:pPr>
            <w:r>
              <w:rPr>
                <w:rFonts w:ascii="仿宋_GB2312" w:eastAsia="仿宋_GB2312" w:cs="仿宋_GB2312" w:hAnsi="仿宋_GB2312" w:hint="eastAsia"/>
                <w:bCs/>
                <w:color w:val="000000"/>
                <w:kern w:val="0"/>
                <w:sz w:val="24"/>
                <w:szCs w:val="24"/>
              </w:rPr>
              <w:t>不符合资质要求。</w:t>
            </w:r>
          </w:p>
        </w:tc>
      </w:tr>
      <w:tr>
        <w:trPr>
          <w:trHeight w:val="4757"/>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辽宁省第三建筑工程集团有限责任公司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二级建造师姚某在四库一平台注册专业为建筑工程。</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技术负责人业绩证明表未签字，申报材料中未提供业绩证明材料，全国水利监管平台显示锦凌水库工程左岸土石坝工程技术负责人为季某峰，业绩存疑。全国水利监管平台和四库一平台均未查到云南澜沧江托巴水电站中路沟、托巴沟渣场排水隧洞及防护工程信息，不能确认业绩有效性。</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职称人员富某博、张某宇2人专业为建筑施工，不能作为水利水电工程相关专业有效人员。</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bCs/>
                <w:color w:val="000000"/>
                <w:sz w:val="24"/>
                <w:szCs w:val="24"/>
                <w:lang w:val="en-US" w:eastAsia="zh-CN"/>
              </w:rPr>
            </w:pPr>
            <w:r>
              <w:rPr>
                <w:rFonts w:ascii="仿宋_GB2312" w:eastAsia="仿宋_GB2312" w:cs="仿宋_GB2312" w:hAnsi="仿宋_GB2312"/>
                <w:bCs/>
                <w:color w:val="000000"/>
                <w:sz w:val="24"/>
                <w:szCs w:val="24"/>
                <w:lang w:val="en-US" w:eastAsia="zh-CN"/>
              </w:rPr>
              <w:t>辽宁文硕建设工程有限公司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bCs/>
                <w:color w:val="000000"/>
                <w:sz w:val="24"/>
                <w:szCs w:val="24"/>
                <w:lang w:val="en-US" w:eastAsia="zh-CN"/>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申报材料中未提供技术负责人承担此项工程的业绩证明材料。</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二级建造师王某全国水利监管平台显示在其他企业从业。</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职称人员潘某宁、程某社保校验未通过。</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不符合资质要求。</w:t>
            </w:r>
          </w:p>
        </w:tc>
      </w:tr>
      <w:tr>
        <w:trPr>
          <w:trHeight w:val="4378"/>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t>辽宁忠政水利建设工程有限公司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lang w:val="en-US" w:eastAsia="zh-CN"/>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湖北省洪湖东分块蓄滞洪区蓄洪工程洪湖主隔堤和东荆河堤防汛道路施工第1标段，全国水利监管平台、湖北省电子招投标交易平台上显示信息与业绩表不一致，业绩存疑。湖北省荆江分洪区近期重点项目建设工程2017年度项目施工第3标段，申报材料中的业绩表与业绩证明材料、全国水利监管平台上显示信息不一致，业绩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技术工人王某博社保校核未通过。</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eastAsia="zh-CN"/>
              </w:rPr>
              <w:t>不符合资质要求。</w:t>
            </w:r>
          </w:p>
        </w:tc>
      </w:tr>
      <w:tr>
        <w:trPr>
          <w:trHeight w:val="3361"/>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t>中交一航局第三工程有限公司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lang w:val="en-US" w:eastAsia="zh-CN"/>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企业净资产真实性存疑。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技术负责人从业经历与全国水利监管平台登记信息不一致。</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业绩新建周家河泵站主体工程证明材料信息与全国水利监管平台不一致，业绩存疑。业绩湛江市引调水工程第三标段施工证明材料无法证实技术负责人的任职情况，业绩存疑。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t>中铁十九局集团第一工程有限公司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lang w:val="en-US" w:eastAsia="zh-CN"/>
              </w:rPr>
              <w:t>建筑业企业资质认定（总承包特级、一级及部分专业一级除外）-资质升级-河湖整治工程专业承包二级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业绩</w:t>
            </w:r>
            <w:r>
              <w:rPr>
                <w:rFonts w:ascii="仿宋_GB2312" w:eastAsia="仿宋_GB2312" w:cs="仿宋_GB2312" w:hAnsi="仿宋_GB2312" w:hint="eastAsia"/>
                <w:bCs/>
                <w:color w:val="000000"/>
                <w:kern w:val="0"/>
                <w:sz w:val="24"/>
                <w:szCs w:val="24"/>
                <w:lang w:val="en-US" w:eastAsia="zh-CN"/>
              </w:rPr>
              <w:t>长河坝水电站瓦斯河中下游治理工程证明材料中存在明显时间逻辑问题，业绩存疑</w:t>
            </w:r>
            <w:r>
              <w:rPr>
                <w:rFonts w:ascii="仿宋_GB2312" w:eastAsia="仿宋_GB2312" w:cs="仿宋_GB2312" w:hAnsi="仿宋_GB2312" w:hint="eastAsia"/>
                <w:bCs/>
                <w:color w:val="000000"/>
                <w:kern w:val="0"/>
                <w:sz w:val="24"/>
                <w:szCs w:val="24"/>
                <w:lang w:eastAsia="zh-CN"/>
              </w:rPr>
              <w:t>。</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中级以上职称人员专业不齐全，未提供技术装备申报材料。</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footerReference w:type="default" r:id="rId2"/>
      <w:pgSz w:w="16838" w:h="11906" w:orient="landscape"/>
      <w:pgMar w:top="1746" w:right="1440" w:bottom="1449" w:left="1440" w:header="851" w:footer="992" w:gutter="0"/>
      <w:pgNumType w:start="2"/>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楷体">
    <w:altName w:val="方正楷体_GBK"/>
    <w:panose1 w:val="02010609060101010101"/>
    <w:charset w:val="86"/>
    <w:family w:val="auto"/>
    <w:pitch w:val="variable"/>
    <w:sig w:usb0="800002BF" w:usb1="38CF7CFA" w:usb2="00000016" w:usb3="00000000" w:csb0="00040001" w:csb1="00000000"/>
  </w:font>
  <w:font w:name="仿宋_GB2312">
    <w:altName w:val="方正仿宋_GBK"/>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6900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69006"/>
                      </a:xfrm>
                      <a:prstGeom prst="rect"/>
                      <a:noFill/>
                      <a:ln w="6350" cmpd="sng" cap="flat">
                        <a:noFill/>
                        <a:prstDash val="solid"/>
                        <a:round/>
                      </a:ln>
                    </wps:spPr>
                    <wps:txbx id="2">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9999084pt;height:13.307616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EF16F6"/>
    <w:multiLevelType w:val="singleLevel"/>
    <w:tmpl w:val="FFEF16F6"/>
    <w:lvl w:ilvl="0">
      <w:start w:val="1"/>
      <w:numFmt w:val="decimal"/>
      <w:lvlRestart w:val="0"/>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文泉驿正黑" w:eastAsia="黑体" w:hAnsi="文泉驿正黑"/>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45CC7F3-B45A-4D5C-AB21-26E939B8DC8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Pages>
  <Words>0</Words>
  <Characters>947</Characters>
  <Lines>0</Lines>
  <Paragraphs>3</Paragraphs>
  <CharactersWithSpaces>1263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PPP</cp:lastModifiedBy>
  <cp:revision>1</cp:revision>
  <cp:lastPrinted>2025-02-13T08:08:38Z</cp:lastPrinted>
  <dcterms:created xsi:type="dcterms:W3CDTF">2023-07-21T06:26:00Z</dcterms:created>
  <dcterms:modified xsi:type="dcterms:W3CDTF">2025-02-14T02:58:08Z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2052-10.8.0.5988</vt:lpwstr>
  </property>
  <property fmtid="{D5CDD505-2E9C-101B-9397-08002B2CF9AE}" pid="3" name="ICV">
    <vt:lpwstr>3C7C3023F56E47BB8FBFE55586A3C052_13</vt:lpwstr>
  </property>
</Properties>
</file>