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2705" w14:textId="77777777" w:rsidR="00E654A2" w:rsidRPr="000E2532" w:rsidRDefault="00E654A2" w:rsidP="00E654A2">
      <w:pPr>
        <w:overflowPunct w:val="0"/>
        <w:spacing w:line="600" w:lineRule="exact"/>
        <w:jc w:val="center"/>
        <w:rPr>
          <w:rFonts w:ascii="Times New Roman" w:hAnsi="Times New Roman"/>
          <w:sz w:val="44"/>
          <w:szCs w:val="44"/>
          <w:lang w:eastAsia="zh-CN"/>
        </w:rPr>
      </w:pPr>
      <w:r w:rsidRPr="000E2532">
        <w:rPr>
          <w:rFonts w:ascii="Times New Roman" w:eastAsia="方正小标宋简体" w:hAnsi="Times New Roman"/>
          <w:sz w:val="44"/>
          <w:szCs w:val="44"/>
          <w:lang w:eastAsia="zh-CN"/>
        </w:rPr>
        <w:t>抚顺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市</w:t>
      </w:r>
      <w:r w:rsidRPr="000E2532">
        <w:rPr>
          <w:rFonts w:ascii="Times New Roman" w:eastAsia="方正小标宋简体" w:hAnsi="Times New Roman"/>
          <w:sz w:val="44"/>
          <w:szCs w:val="44"/>
          <w:lang w:eastAsia="zh-CN"/>
        </w:rPr>
        <w:t>商品房购房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支持</w:t>
      </w:r>
      <w:r w:rsidRPr="000E2532">
        <w:rPr>
          <w:rFonts w:ascii="Times New Roman" w:eastAsia="方正小标宋简体" w:hAnsi="Times New Roman"/>
          <w:sz w:val="44"/>
          <w:szCs w:val="44"/>
          <w:lang w:eastAsia="zh-CN"/>
        </w:rPr>
        <w:t>政策</w:t>
      </w:r>
    </w:p>
    <w:p w14:paraId="1025C5B5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</w:p>
    <w:p w14:paraId="141E70E5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一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、契税政策</w:t>
      </w:r>
    </w:p>
    <w:p w14:paraId="6EDDC73F" w14:textId="77777777" w:rsidR="00E654A2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4D31B5B8" w14:textId="3F1AC0AA" w:rsidR="00E654A2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DB0857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DB0857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07153B2C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548BCCF7" w14:textId="77777777" w:rsidR="00E654A2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的税率征收契税。家庭第二套住房是指已拥有一套住房的家庭购买的第二套住房。</w:t>
      </w:r>
    </w:p>
    <w:p w14:paraId="12431299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二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、贷款及公积金</w:t>
      </w: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支持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政策</w:t>
      </w:r>
    </w:p>
    <w:p w14:paraId="322D3C84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缴存人购买、建造、翻建、大修具有所有权的自住住房，需支付房款或首付款及建造、翻建、大修相关费用的可以提取住房公积金。</w:t>
      </w:r>
    </w:p>
    <w:p w14:paraId="0C7771FE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lastRenderedPageBreak/>
        <w:t>2.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缴存人的子女或父母购买具有所有权的自住住房，需支付房款或首付款的可以提取住房公积金。</w:t>
      </w:r>
    </w:p>
    <w:p w14:paraId="5D5CCF2D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缴存人子女的配偶购买具有所有权自住住房，且子女是产权共有人，需支付房款或首付款的可以提取住房公积金。</w:t>
      </w:r>
    </w:p>
    <w:p w14:paraId="4C84CA23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偿还购买自住住房贷款本息的可以提取住房公积金。</w:t>
      </w:r>
    </w:p>
    <w:p w14:paraId="1D4B83EC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为支持青年人解决住房问题，对青年人住房公积金贷款提供支持政策，符合住房公积金贷款条件的青年人，首次使用住房公积金贷款在我市行政区域内购买首套自住住房，提供不低于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万元贷款额度支持，此贷款额度不受住房公积金账户存储余额倍数和还款能力的限制，其他相关政策不变。青年人是指年龄在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18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至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周岁之间的住房公积金缴存人。</w:t>
      </w:r>
    </w:p>
    <w:p w14:paraId="7510BB17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6.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为强化人才住房保障工作，对各类人才提供个人住房公积金贷款支持政策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,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在我市就业的毕业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年以内中专及以上学历的青年人才，首次使用住房公积金贷款在我市行政区域内购买自住住房的，贷款限额最高可放宽到当期贷款最高限额的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倍，最高不得超过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万元。其他相关政策不变。</w:t>
      </w:r>
    </w:p>
    <w:p w14:paraId="1DE650B4" w14:textId="77777777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27B2B9DF" w14:textId="242312CD" w:rsidR="00E654A2" w:rsidRPr="009A4FB6" w:rsidRDefault="00E654A2" w:rsidP="00E654A2">
      <w:pPr>
        <w:overflowPunct w:val="0"/>
        <w:spacing w:after="0" w:line="600" w:lineRule="exact"/>
        <w:ind w:firstLineChars="200" w:firstLine="640"/>
        <w:jc w:val="both"/>
        <w:rPr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  <w:r w:rsidR="00D31C70">
        <w:rPr>
          <w:rFonts w:ascii="Times New Roman" w:eastAsia="仿宋_GB2312" w:hAnsi="Times New Roman" w:hint="eastAsia"/>
          <w:sz w:val="32"/>
          <w:szCs w:val="32"/>
          <w:lang w:eastAsia="zh-CN"/>
        </w:rPr>
        <w:t>抚顺市住房公积金管理中心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024-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2329</w:t>
      </w:r>
    </w:p>
    <w:p w14:paraId="70032B45" w14:textId="44DC2B2E" w:rsidR="00F547D8" w:rsidRPr="00E654A2" w:rsidRDefault="00F547D8" w:rsidP="00E654A2">
      <w:pPr>
        <w:spacing w:after="0" w:line="600" w:lineRule="exact"/>
        <w:jc w:val="both"/>
        <w:rPr>
          <w:lang w:eastAsia="zh-CN"/>
        </w:rPr>
      </w:pPr>
    </w:p>
    <w:sectPr w:rsidR="00F547D8" w:rsidRPr="00E654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EEF8" w14:textId="77777777" w:rsidR="00912DE8" w:rsidRDefault="00912DE8" w:rsidP="00B406D7">
      <w:pPr>
        <w:spacing w:after="0" w:line="240" w:lineRule="auto"/>
      </w:pPr>
      <w:r>
        <w:separator/>
      </w:r>
    </w:p>
  </w:endnote>
  <w:endnote w:type="continuationSeparator" w:id="0">
    <w:p w14:paraId="6DD90EE8" w14:textId="77777777" w:rsidR="00912DE8" w:rsidRDefault="00912DE8" w:rsidP="00B4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7DB9" w14:textId="77777777" w:rsidR="00912DE8" w:rsidRDefault="00912DE8" w:rsidP="00B406D7">
      <w:pPr>
        <w:spacing w:after="0" w:line="240" w:lineRule="auto"/>
      </w:pPr>
      <w:r>
        <w:separator/>
      </w:r>
    </w:p>
  </w:footnote>
  <w:footnote w:type="continuationSeparator" w:id="0">
    <w:p w14:paraId="6B8B528C" w14:textId="77777777" w:rsidR="00912DE8" w:rsidRDefault="00912DE8" w:rsidP="00B4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24B"/>
    <w:rsid w:val="00034616"/>
    <w:rsid w:val="0006063C"/>
    <w:rsid w:val="000712DA"/>
    <w:rsid w:val="0008173B"/>
    <w:rsid w:val="000A2BC1"/>
    <w:rsid w:val="00107F04"/>
    <w:rsid w:val="0015074B"/>
    <w:rsid w:val="001B13AA"/>
    <w:rsid w:val="0029639D"/>
    <w:rsid w:val="00326F90"/>
    <w:rsid w:val="00580270"/>
    <w:rsid w:val="00692E63"/>
    <w:rsid w:val="007F4B9F"/>
    <w:rsid w:val="00912DE8"/>
    <w:rsid w:val="00A6631D"/>
    <w:rsid w:val="00AA1D8D"/>
    <w:rsid w:val="00B406D7"/>
    <w:rsid w:val="00B47730"/>
    <w:rsid w:val="00BE422C"/>
    <w:rsid w:val="00C93B1E"/>
    <w:rsid w:val="00CB0664"/>
    <w:rsid w:val="00D31C70"/>
    <w:rsid w:val="00DB0857"/>
    <w:rsid w:val="00E654A2"/>
    <w:rsid w:val="00F547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CCA2D"/>
  <w14:defaultImageDpi w14:val="300"/>
  <w15:docId w15:val="{B95D7AEF-0408-426F-870D-92FCEE0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12</cp:revision>
  <dcterms:created xsi:type="dcterms:W3CDTF">2013-12-23T23:15:00Z</dcterms:created>
  <dcterms:modified xsi:type="dcterms:W3CDTF">2026-02-09T01:38:00Z</dcterms:modified>
  <cp:category/>
</cp:coreProperties>
</file>