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napToGrid w:val="0"/>
        <w:jc w:val="center"/>
        <w:textAlignment w:val="center"/>
        <w:rPr>
          <w:rFonts w:ascii="楷体" w:eastAsia="楷体" w:cs="楷体"/>
          <w:bCs/>
          <w:kern w:val="0"/>
          <w:sz w:val="32"/>
          <w:szCs w:val="32"/>
        </w:rPr>
      </w:pPr>
    </w:p>
    <w:tbl>
      <w:tblPr>
        <w:jc w:val="center"/>
        <w:tblW w:w="1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05"/>
        <w:gridCol w:w="4380"/>
        <w:gridCol w:w="5370"/>
      </w:tblGrid>
      <w:tr>
        <w:trPr>
          <w:trHeight w:val="699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审查</w:t>
            </w:r>
            <w:r>
              <w:rPr>
                <w:rFonts w:ascii="宋体" w:cs="宋体"/>
                <w:b/>
                <w:kern w:val="0"/>
                <w:sz w:val="24"/>
              </w:rPr>
              <w:t>意见</w:t>
            </w:r>
            <w:bookmarkStart w:id="0" w:name="_GoBack"/>
            <w:bookmarkEnd w:id="0"/>
          </w:p>
        </w:tc>
      </w:tr>
      <w:tr>
        <w:trPr>
          <w:trHeight w:val="315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辽宁中水环资诚建建设有限公司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lang w:eastAsia="zh-CN"/>
              </w:rPr>
              <w:t>设立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符合资质要求。</w:t>
            </w:r>
          </w:p>
        </w:tc>
      </w:tr>
      <w:tr>
        <w:trPr>
          <w:trHeight w:val="282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 xml:space="preserve">辽宁宏洋实业有限公司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符合资质要求。</w:t>
            </w:r>
          </w:p>
        </w:tc>
      </w:tr>
      <w:tr>
        <w:trPr>
          <w:trHeight w:val="361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阜新蒙古族自治县金水水利工程有限公司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lang w:eastAsia="zh-CN"/>
              </w:rPr>
              <w:t>设立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</w:rPr>
              <w:t>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符合资质要求。</w:t>
            </w:r>
          </w:p>
        </w:tc>
      </w:tr>
    </w:tbl>
    <w:p>
      <w:pPr>
        <w:spacing w:line="240" w:lineRule="exact"/>
      </w:pPr>
    </w:p>
    <w:sectPr>
      <w:footerReference w:type="default" r:id="rId2"/>
      <w:pgSz w:w="16838" w:h="11906" w:orient="landscape"/>
      <w:pgMar w:top="1746" w:right="1440" w:bottom="1449" w:left="1440" w:header="851" w:footer="992" w:gutter="0"/>
      <w:pgNumType w:start="2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楷体">
    <w:altName w:val="永中楷体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永中仿宋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694" cy="133159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2694" cy="13315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5.7239957pt;height:10.484998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EF16F6"/>
    <w:multiLevelType w:val="singleLevel"/>
    <w:tmpl w:val="FFEF16F6"/>
    <w:lvl w:ilvl="0">
      <w:start w:val="1"/>
      <w:numFmt w:val="decimal"/>
      <w:lvlRestart w:val="0"/>
      <w:suff w:val="nothing"/>
      <w:lvlText w:val="%1"/>
      <w:lvlJc w:val="left"/>
      <w:pPr>
        <w:tabs>
          <w:tab w:val="num" w:pos="0"/>
        </w:tabs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MzEwNTM5NzYwMDRjMzkwZTVkZjY2ODkwMGIxNGU0OT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8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2</Pages>
  <Words>221</Words>
  <Characters>221</Characters>
  <Lines>25</Lines>
  <Paragraphs>13</Paragraphs>
  <CharactersWithSpaces>222</CharactersWithSpaces>
  <Company>Micorosoft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thtf</cp:lastModifiedBy>
  <cp:revision>3</cp:revision>
  <cp:lastPrinted>2025-04-15T07:13:00Z</cp:lastPrinted>
  <dcterms:created xsi:type="dcterms:W3CDTF">2023-07-21T06:26:00Z</dcterms:created>
  <dcterms:modified xsi:type="dcterms:W3CDTF">2026-05-12T08:22:30Z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2052-10.8.0.5988</vt:lpwstr>
  </property>
  <property fmtid="{D5CDD505-2E9C-101B-9397-08002B2CF9AE}" pid="3" name="ICV">
    <vt:lpwstr>B8791497356E46F29412690DB67A4C97_13</vt:lpwstr>
  </property>
</Properties>
</file>