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snapToGrid w:val="0"/>
        <w:spacing w:line="360" w:lineRule="auto"/>
        <w:jc w:val="center"/>
        <w:rPr>
          <w:rFonts w:hint="eastAsia" w:ascii="方正小标宋_GBK" w:eastAsia="方正小标宋_GBK" w:cs="方正小标宋_GBK"/>
          <w:b w:val="0"/>
          <w:bCs w:val="0"/>
          <w:sz w:val="44"/>
          <w:szCs w:val="44"/>
          <w:lang w:eastAsia="zh-CN"/>
        </w:rPr>
      </w:pPr>
      <w:r>
        <w:rPr>
          <w:rFonts w:hint="eastAsia" w:ascii="仿宋" w:hAnsi="仿宋" w:eastAsia="仿宋" w:cs="宋体"/>
          <w:kern w:val="0"/>
          <w:sz w:val="32"/>
          <w:szCs w:val="32"/>
        </w:rPr>
        <w:t>辽住建〔2024〕</w:t>
      </w:r>
      <w:r>
        <w:rPr>
          <w:rFonts w:hint="eastAsia" w:ascii="仿宋" w:hAnsi="仿宋" w:eastAsia="仿宋" w:cs="宋体"/>
          <w:kern w:val="0"/>
          <w:sz w:val="32"/>
          <w:szCs w:val="32"/>
          <w:lang w:val="en-US" w:eastAsia="zh-CN"/>
        </w:rPr>
        <w:t>28</w:t>
      </w:r>
      <w:r>
        <w:rPr>
          <w:rFonts w:hint="eastAsia" w:ascii="仿宋" w:hAnsi="仿宋" w:eastAsia="仿宋" w:cs="宋体"/>
          <w:kern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辽宁省住房和城乡建设厅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推行工程施工</w:t>
      </w:r>
      <w:r>
        <w:rPr>
          <w:rFonts w:hint="eastAsia" w:ascii="宋体" w:hAnsi="宋体" w:eastAsia="宋体" w:cs="宋体"/>
          <w:b/>
          <w:bCs/>
          <w:sz w:val="44"/>
          <w:szCs w:val="44"/>
        </w:rPr>
        <w:t>过程结算的通知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eastAsia="仿宋" w:cs="仿宋"/>
          <w:color w:val="auto"/>
          <w:sz w:val="32"/>
          <w:szCs w:val="32"/>
        </w:rPr>
      </w:pPr>
      <w:r>
        <w:rPr>
          <w:rFonts w:hint="eastAsia" w:ascii="仿宋" w:eastAsia="仿宋" w:cs="仿宋"/>
          <w:color w:val="auto"/>
          <w:sz w:val="32"/>
          <w:szCs w:val="32"/>
        </w:rPr>
        <w:t>各</w:t>
      </w:r>
      <w:r>
        <w:rPr>
          <w:rFonts w:hint="eastAsia" w:ascii="仿宋" w:eastAsia="仿宋" w:cs="仿宋"/>
          <w:color w:val="auto"/>
          <w:sz w:val="32"/>
          <w:szCs w:val="32"/>
          <w:lang w:eastAsia="zh-CN"/>
        </w:rPr>
        <w:t>市住建局</w:t>
      </w:r>
      <w:r>
        <w:rPr>
          <w:rFonts w:hint="eastAsia" w:ascii="仿宋" w:eastAsia="仿宋" w:cs="仿宋"/>
          <w:color w:val="auto"/>
          <w:sz w:val="32"/>
          <w:szCs w:val="32"/>
          <w:lang w:val="en-US" w:eastAsia="zh-CN"/>
        </w:rPr>
        <w:t>，沈抚示范区建设局</w:t>
      </w:r>
      <w:r>
        <w:rPr>
          <w:rFonts w:hint="eastAsia" w:asci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为了落实财政部、住房城乡建设部发布的《关于完善建设工程价款结算有关办法的通知》（财建〔</w:t>
      </w:r>
      <w:r>
        <w:rPr>
          <w:rFonts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2</w:t>
      </w:r>
      <w:r>
        <w:rPr>
          <w:rFonts w:hint="eastAsia" w:ascii="仿宋" w:eastAsia="仿宋" w:cs="仿宋"/>
          <w:color w:val="auto"/>
          <w:sz w:val="32"/>
          <w:szCs w:val="32"/>
          <w:lang w:val="en-US" w:eastAsia="zh-CN"/>
        </w:rPr>
        <w:t>〕</w:t>
      </w:r>
      <w:r>
        <w:rPr>
          <w:rFonts w:hint="eastAsia" w:ascii="Times New Roman" w:hAnsi="Times New Roman" w:eastAsia="楷体_GB2312" w:cs="Times New Roman"/>
          <w:sz w:val="32"/>
          <w:szCs w:val="32"/>
          <w:lang w:val="en-US" w:eastAsia="zh-CN"/>
        </w:rPr>
        <w:t>183</w:t>
      </w:r>
      <w:r>
        <w:rPr>
          <w:rFonts w:hint="eastAsia" w:ascii="仿宋" w:eastAsia="仿宋" w:cs="仿宋"/>
          <w:color w:val="auto"/>
          <w:sz w:val="32"/>
          <w:szCs w:val="32"/>
          <w:lang w:val="en-US" w:eastAsia="zh-CN"/>
        </w:rPr>
        <w:t>号）中关于当年开工、当年不能竣工的新开工项目可以推行过程结算的要求，促进工程履约，提高结算时效性，发承包双方可参考下列内容，依据合同约定开展施工过程结算。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一、施工过程结算节点的划分应结合工程实际情况，参考质量验收、工程计量、进度管理、安全考核等进度节点进行划分。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二、采用施工过程结算的工程应在合同中明确结算节点、计量计价方法、风险范围、验收要求，以及价款支付时间、程序、方式、支付比例等相关内容。需要进行招标的工程，应在招标文件中明确上述相关内容。</w:t>
      </w:r>
    </w:p>
    <w:p>
      <w:pPr>
        <w:keepNext w:val="0"/>
        <w:keepLines w:val="0"/>
        <w:pageBreakBefore w:val="0"/>
        <w:widowControl w:val="0"/>
        <w:kinsoku/>
        <w:wordWrap/>
        <w:overflowPunct/>
        <w:topLinePunct w:val="0"/>
        <w:autoSpaceDE/>
        <w:autoSpaceDN/>
        <w:bidi w:val="0"/>
        <w:adjustRightInd/>
        <w:snapToGrid/>
        <w:spacing w:line="560" w:lineRule="exact"/>
        <w:ind w:left="0" w:right="-92" w:rightChars="-44"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开展施工过程结算的工程，应按合同约定的方式计算相应措施项目费用，采用总价计算的措施项目费可依据施工过程结算当期实际完成的工程造价比例计算；采用单价计算的措施项目费可按当期完成的工程施工措施工作量进行计量和计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三、发承包双方应按合同约定的结算节点，划分结算周期，对周期内已完成且无争议的工程量（含工程变更、现场签证、索赔等）进行结算。当期过程结算金额一般不应超出已完工部分对应的批复概（预）算。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四、施工过程结算资料包括施工合同、补充协议、招标文件、投标文件、施工图纸以及经确认的施工方案、工程变更、现场签证、工程索赔等相关内容。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建设单位在办理现场签证时，应明确签证的工程量、单价和总费用。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五、施工单位应按施工合同约定的施工过程结算节点，编制相应的结算报告，并在约定期限内向建设单位递交施工过程结算报告及相应结算资料，递交的结算资料应真实、完整。建设单位应在合同约定期限内完成审核并予以答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合同中对施工过程结算办理各项时限未有约定或约定不明确的，其期限均为</w:t>
      </w:r>
      <w:r>
        <w:rPr>
          <w:rFonts w:hint="eastAsia" w:ascii="Times New Roman" w:hAnsi="Times New Roman" w:eastAsia="楷体_GB2312" w:cs="Times New Roman"/>
          <w:sz w:val="32"/>
          <w:szCs w:val="32"/>
          <w:lang w:val="en-US" w:eastAsia="zh-CN"/>
        </w:rPr>
        <w:t>28</w:t>
      </w:r>
      <w:r>
        <w:rPr>
          <w:rFonts w:hint="eastAsia" w:ascii="仿宋" w:eastAsia="仿宋" w:cs="仿宋"/>
          <w:color w:val="auto"/>
          <w:sz w:val="32"/>
          <w:szCs w:val="32"/>
          <w:lang w:val="en-US" w:eastAsia="zh-CN"/>
        </w:rPr>
        <w:t>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六、发承包双方或一方发现已完成的施工过程结算成果文件有错漏，经发承包双方复核同意修正的，可在下个节点的施工过程结算或竣工结算中调整。合同双方或一方不同意的，争议部分可留在下个结点或竣工结算时解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各节点施工过程结算所遗留的问题，应在竣工结算时解决。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七、建设单位应当按照合同约定，依据已确认的施工过程结算文件，向施工单位拨付本期已确认的过程结算价款。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各方不得以审计、审计督导和评审等为理由影响施工过程结算。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八、工程全部竣工，施工单位按合同约定向建设单位提交工程竣工结算报告后，建设单位应按照合同约定的程序、时间进行审核确认，并出具竣工结算审核报告。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经双方确认的过程结算文件作为竣工结算文件的组成部分，工程竣工结算时原则上不再重复审核。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各市、县（区）住建部门要加强推行施工过程结算的指导、管理和监督，鼓励建设单位配备相应的专业技术人员或委托工程造价咨询机构，开展施工过程结算相关工作，积极帮助解决过程结算实施中的困难和问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eastAsia="仿宋" w:cs="仿宋"/>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firstLine="640" w:firstLineChars="200"/>
        <w:jc w:val="right"/>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 xml:space="preserve">辽宁省住房和城乡建设厅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 xml:space="preserve">                   2024年5月</w:t>
      </w:r>
      <w:r>
        <w:rPr>
          <w:rFonts w:hint="eastAsia" w:ascii="方正大标宋_GBK" w:hAnsi="方正大标宋_GBK" w:eastAsia="仿宋" w:cs="仿宋"/>
          <w:color w:val="auto"/>
          <w:sz w:val="32"/>
          <w:szCs w:val="32"/>
          <w:lang w:val="en-US" w:eastAsia="zh-CN"/>
        </w:rPr>
        <w:t>9</w:t>
      </w:r>
      <w:r>
        <w:rPr>
          <w:rFonts w:hint="eastAsia" w:ascii="仿宋" w:eastAsia="仿宋" w:cs="仿宋"/>
          <w:color w:val="auto"/>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eastAsia="仿宋" w:cs="仿宋"/>
          <w:color w:val="auto"/>
          <w:sz w:val="32"/>
          <w:szCs w:val="32"/>
          <w:lang w:val="en-US" w:eastAsia="zh-CN"/>
        </w:rPr>
      </w:pPr>
      <w:r>
        <w:rPr>
          <w:rFonts w:hint="eastAsia" w:ascii="仿宋" w:eastAsia="仿宋" w:cs="仿宋"/>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eastAsia="仿宋" w:cs="仿宋"/>
          <w:color w:val="auto"/>
          <w:sz w:val="32"/>
          <w:szCs w:val="32"/>
          <w:lang w:val="en-US" w:eastAsia="zh-CN"/>
        </w:rPr>
      </w:pPr>
    </w:p>
    <w:p>
      <w:pPr>
        <w:snapToGrid w:val="0"/>
        <w:spacing w:line="360" w:lineRule="auto"/>
        <w:ind w:firstLine="315" w:firstLineChars="150"/>
        <w:rPr>
          <w:rFonts w:hint="eastAsia" w:ascii="仿宋" w:eastAsia="仿宋" w:cs="仿宋"/>
          <w:sz w:val="28"/>
          <w:szCs w:val="28"/>
          <w:lang w:eastAsia="zh-CN"/>
        </w:rPr>
      </w:pPr>
      <w:r>
        <w:rPr>
          <w:rFonts w:ascii="Calibri" w:hAnsi="Calibri" w:eastAsia="宋体" w:cs="Times New Roman"/>
          <w:snapToGrid w:val="0"/>
          <w:szCs w:val="24"/>
        </w:rPr>
        <mc:AlternateContent>
          <mc:Choice Requires="wps">
            <w:drawing>
              <wp:anchor distT="0" distB="0" distL="113665" distR="113665" simplePos="0" relativeHeight="1024" behindDoc="0" locked="0" layoutInCell="1" allowOverlap="1">
                <wp:simplePos x="0" y="0"/>
                <wp:positionH relativeFrom="column">
                  <wp:posOffset>-19685</wp:posOffset>
                </wp:positionH>
                <wp:positionV relativeFrom="paragraph">
                  <wp:posOffset>290195</wp:posOffset>
                </wp:positionV>
                <wp:extent cx="5304790" cy="8890"/>
                <wp:effectExtent l="0" t="0" r="0" b="0"/>
                <wp:wrapNone/>
                <wp:docPr id="4" name="直接连接符 2"/>
                <wp:cNvGraphicFramePr/>
                <a:graphic xmlns:a="http://schemas.openxmlformats.org/drawingml/2006/main">
                  <a:graphicData uri="http://schemas.microsoft.com/office/word/2010/wordprocessingShape">
                    <wps:wsp>
                      <wps:cNvCnPr/>
                      <wps:spPr>
                        <a:xfrm>
                          <a:off x="0" y="0"/>
                          <a:ext cx="5304790" cy="889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1.55pt;margin-top:22.85pt;height:0.7pt;width:417.7pt;z-index:1024;mso-width-relative:page;mso-height-relative:page;" filled="f" stroked="t" coordsize="21600,21600" o:gfxdata="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0biTvXAAAACAEAAA8AAAAAAAAAAQAgAAAAIgAAAGRy&#10;cy9kb3ducmV2LnhtbFBLAQIUABQAAAAIAIdO4kBSRF00BgIAANsDAAAOAAAAAAAAAAEAIAAAACYB&#10;AABkcnMvZTJvRG9jLnhtbFBLBQYAAAAABgAGAFkBAACeBQAAAAA=&#10;">
                <v:fill on="f" focussize="0,0"/>
                <v:stroke color="#000000" joinstyle="round"/>
                <v:imagedata o:title=""/>
                <o:lock v:ext="edit" aspectratio="f"/>
              </v:line>
            </w:pict>
          </mc:Fallback>
        </mc:AlternateContent>
      </w:r>
      <w:r>
        <w:rPr>
          <w:rFonts w:hint="eastAsia" w:ascii="仿宋" w:eastAsia="仿宋" w:cs="仿宋"/>
          <w:sz w:val="28"/>
          <w:szCs w:val="28"/>
        </w:rPr>
        <w:t>抄送：</w:t>
      </w:r>
      <w:r>
        <w:rPr>
          <w:rFonts w:hint="eastAsia" w:ascii="仿宋" w:eastAsia="仿宋" w:cs="仿宋"/>
          <w:sz w:val="28"/>
          <w:szCs w:val="28"/>
          <w:lang w:eastAsia="zh-CN"/>
        </w:rPr>
        <w:t>大连金普新区住建局</w:t>
      </w:r>
    </w:p>
    <w:p>
      <w:pPr>
        <w:snapToGrid w:val="0"/>
        <w:spacing w:line="360" w:lineRule="auto"/>
        <w:ind w:firstLine="315" w:firstLineChars="150"/>
        <w:rPr>
          <w:rFonts w:ascii="仿宋" w:eastAsia="仿宋" w:cs="仿宋"/>
          <w:sz w:val="28"/>
          <w:szCs w:val="28"/>
          <w:lang w:val="en-US" w:eastAsia="zh-CN"/>
        </w:rPr>
      </w:pPr>
      <w:r>
        <w:rPr>
          <w:rFonts w:ascii="Calibri" w:hAnsi="Calibri" w:eastAsia="宋体" w:cs="Times New Roman"/>
          <w:snapToGrid w:val="0"/>
          <w:szCs w:val="24"/>
        </w:rPr>
        <mc:AlternateContent>
          <mc:Choice Requires="wps">
            <w:drawing>
              <wp:anchor distT="0" distB="0" distL="113665" distR="113665" simplePos="0" relativeHeight="1024" behindDoc="0" locked="0" layoutInCell="1" allowOverlap="1">
                <wp:simplePos x="0" y="0"/>
                <wp:positionH relativeFrom="column">
                  <wp:posOffset>-16510</wp:posOffset>
                </wp:positionH>
                <wp:positionV relativeFrom="paragraph">
                  <wp:posOffset>269875</wp:posOffset>
                </wp:positionV>
                <wp:extent cx="5292725" cy="5080"/>
                <wp:effectExtent l="0" t="0" r="0" b="0"/>
                <wp:wrapNone/>
                <wp:docPr id="6" name="直接连接符 3"/>
                <wp:cNvGraphicFramePr/>
                <a:graphic xmlns:a="http://schemas.openxmlformats.org/drawingml/2006/main">
                  <a:graphicData uri="http://schemas.microsoft.com/office/word/2010/wordprocessingShape">
                    <wps:wsp>
                      <wps:cNvCnPr/>
                      <wps:spPr>
                        <a:xfrm rot="21600000" flipV="1">
                          <a:off x="0" y="0"/>
                          <a:ext cx="5292725" cy="508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3pt;margin-top:21.25pt;height:0.4pt;width:416.75pt;z-index:1024;mso-width-relative:page;mso-height-relative:page;" filled="f" stroked="t" coordsize="21600,21600" o:gfxdata="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950vdcAAAAIAQAADwAA&#10;AAAAAAABACAAAAAiAAAAZHJzL2Rvd25yZXYueG1sUEsBAhQAFAAAAAgAh07iQLPUhdQXAgAA9AMA&#10;AA4AAAAAAAAAAQAgAAAAJgEAAGRycy9lMm9Eb2MueG1sUEsFBgAAAAAGAAYAWQEAAK8FAAAAAA==&#10;">
                <v:fill on="f" focussize="0,0"/>
                <v:stroke color="#000000" joinstyle="round"/>
                <v:imagedata o:title=""/>
                <o:lock v:ext="edit" aspectratio="f"/>
              </v:line>
            </w:pict>
          </mc:Fallback>
        </mc:AlternateContent>
      </w:r>
      <w:r>
        <w:rPr>
          <w:rFonts w:hint="eastAsia" w:ascii="仿宋" w:eastAsia="仿宋" w:cs="仿宋"/>
          <w:color w:val="000000"/>
          <w:sz w:val="28"/>
          <w:szCs w:val="28"/>
        </w:rPr>
        <w:t>辽宁省住房和城乡建设厅办公室       2024年</w:t>
      </w:r>
      <w:r>
        <w:rPr>
          <w:rFonts w:hint="eastAsia" w:ascii="仿宋" w:eastAsia="仿宋" w:cs="仿宋"/>
          <w:color w:val="000000"/>
          <w:sz w:val="28"/>
          <w:szCs w:val="28"/>
          <w:lang w:val="en-US" w:eastAsia="zh-CN"/>
        </w:rPr>
        <w:t>5</w:t>
      </w:r>
      <w:r>
        <w:rPr>
          <w:rFonts w:hint="eastAsia" w:ascii="仿宋" w:eastAsia="仿宋" w:cs="仿宋"/>
          <w:color w:val="000000"/>
          <w:sz w:val="28"/>
          <w:szCs w:val="28"/>
        </w:rPr>
        <w:t>月</w:t>
      </w:r>
      <w:r>
        <w:rPr>
          <w:rFonts w:hint="eastAsia" w:ascii="方正大标宋_GBK" w:hAnsi="方正大标宋_GBK" w:eastAsia="仿宋" w:cs="仿宋"/>
          <w:color w:val="000000"/>
          <w:sz w:val="28"/>
          <w:szCs w:val="28"/>
          <w:lang w:val="en-US" w:eastAsia="zh-CN"/>
        </w:rPr>
        <w:t>9</w:t>
      </w:r>
      <w:r>
        <w:rPr>
          <w:rFonts w:hint="eastAsia" w:ascii="仿宋" w:eastAsia="仿宋" w:cs="仿宋"/>
          <w:color w:val="000000"/>
          <w:sz w:val="28"/>
          <w:szCs w:val="28"/>
        </w:rPr>
        <w:t>日印发</w:t>
      </w:r>
    </w:p>
    <w:sectPr>
      <w:footerReference r:id="rId3" w:type="default"/>
      <w:pgSz w:w="11906" w:h="16838"/>
      <w:pgMar w:top="1440" w:right="1800" w:bottom="1440" w:left="1800" w:header="851" w:footer="992" w:gutter="0"/>
      <w:pgNumType w:fmt="numberInDash"/>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大标宋_GBK">
    <w:altName w:val="宋体"/>
    <w:panose1 w:val="02000000000000000000"/>
    <w:charset w:val="86"/>
    <w:family w:val="script"/>
    <w:pitch w:val="default"/>
    <w:sig w:usb0="00000000" w:usb1="00000000" w:usb2="00000000" w:usb3="00000000" w:csb0="00040001" w:csb1="00000000"/>
  </w:font>
  <w:font w:name="Luxi Sa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等线 Light">
    <w:altName w:val="微软雅黑"/>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372110" cy="377825"/>
              <wp:effectExtent l="0" t="0" r="0" b="0"/>
              <wp:wrapNone/>
              <wp:docPr id="1" name="文本框 1"/>
              <wp:cNvGraphicFramePr/>
              <a:graphic xmlns:a="http://schemas.openxmlformats.org/drawingml/2006/main">
                <a:graphicData uri="http://schemas.microsoft.com/office/word/2010/wordprocessingShape">
                  <wps:wsp>
                    <wps:cNvSpPr/>
                    <wps:spPr>
                      <a:xfrm>
                        <a:off x="0" y="0"/>
                        <a:ext cx="372313" cy="377825"/>
                      </a:xfrm>
                      <a:prstGeom prst="rect">
                        <a:avLst/>
                      </a:prstGeom>
                      <a:noFill/>
                      <a:ln w="6350" cap="flat" cmpd="sng">
                        <a:noFill/>
                        <a:prstDash val="solid"/>
                        <a:round/>
                      </a:ln>
                    </wps:spPr>
                    <wps:txbx>
                      <w:txbxContent>
                        <w:p>
                          <w:pPr>
                            <w:pStyle w:val="5"/>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wps:txbx>
                    <wps:bodyPr vert="horz" wrap="none" lIns="0" tIns="0" rIns="0" bIns="0" anchor="t" anchorCtr="0" upright="0">
                      <a:noAutofit/>
                    </wps:bodyPr>
                  </wps:wsp>
                </a:graphicData>
              </a:graphic>
            </wp:anchor>
          </w:drawing>
        </mc:Choice>
        <mc:Fallback>
          <w:pict>
            <v:rect id="文本框 1" o:spid="_x0000_s1026" o:spt="1" style="position:absolute;left:0pt;margin-top:0pt;height:29.75pt;width:29.3pt;mso-position-horizontal:center;mso-position-horizontal-relative:margin;mso-wrap-style:none;z-index:1024;mso-width-relative:page;mso-height-relative:page;" filled="f" stroked="f" coordsize="21600,21600" o:gfxdata="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LoLc0wAAAAMB&#10;AAAPAAAAAAAAAAEAIAAAACIAAABkcnMvZG93bnJldi54bWxQSwECFAAUAAAACACHTuJAnuASk+cB&#10;AACmAwAADgAAAAAAAAABACAAAAAiAQAAZHJzL2Uyb0RvYy54bWxQSwUGAAAAAAYABgBZAQAAewUA&#10;AAAA&#10;">
              <v:fill on="f" focussize="0,0"/>
              <v:stroke on="f" weight="0.5pt" joinstyle="round"/>
              <v:imagedata o:title=""/>
              <o:lock v:ext="edit" aspectratio="f"/>
              <v:textbox inset="0mm,0mm,0mm,0mm">
                <w:txbxContent>
                  <w:p>
                    <w:pPr>
                      <w:pStyle w:val="5"/>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A8E5948"/>
    <w:rsid w:val="2E522632"/>
    <w:rsid w:val="32A6282B"/>
    <w:rsid w:val="394B251C"/>
    <w:rsid w:val="62D95F50"/>
    <w:rsid w:val="65E77E48"/>
    <w:rsid w:val="7EF949C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1206</Words>
  <Characters>1218</Characters>
  <Lines>72</Lines>
  <Paragraphs>24</Paragraphs>
  <TotalTime>0</TotalTime>
  <ScaleCrop>false</ScaleCrop>
  <LinksUpToDate>false</LinksUpToDate>
  <CharactersWithSpaces>1255</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2024-04-29T18:46:00Z</dcterms:created>
  <dc:creator>thtf</dc:creator>
  <cp:lastModifiedBy>ljb</cp:lastModifiedBy>
  <cp:lastPrinted>2024-05-09T01:41:48Z</cp:lastPrinted>
  <dcterms:modified xsi:type="dcterms:W3CDTF">2024-05-09T02:07:34Z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9FCF47346A3FB67D0F8D396690014CE4</vt:lpwstr>
  </property>
</Properties>
</file>