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2A0EC">
      <w:pPr>
        <w:suppressAutoHyphens/>
        <w:bidi w:val="0"/>
        <w:spacing w:line="700" w:lineRule="exact"/>
        <w:ind w:firstLine="0" w:firstLineChars="0"/>
        <w:jc w:val="center"/>
        <w:rPr>
          <w:rFonts w:hint="eastAsia" w:ascii="宋体" w:hAnsi="宋体" w:eastAsia="宋体"/>
          <w:b/>
          <w:bCs/>
          <w:sz w:val="44"/>
          <w:szCs w:val="44"/>
          <w:shd w:val="clear" w:color="auto" w:fill="FFFFFF"/>
          <w:lang w:bidi="ar"/>
        </w:rPr>
      </w:pPr>
      <w:r>
        <w:rPr>
          <w:rFonts w:hint="eastAsia" w:ascii="宋体" w:hAnsi="宋体" w:eastAsia="宋体"/>
          <w:b/>
          <w:bCs/>
          <w:sz w:val="44"/>
          <w:szCs w:val="44"/>
          <w:shd w:val="clear" w:color="auto" w:fill="FFFFFF"/>
          <w:lang w:bidi="ar"/>
        </w:rPr>
        <w:t>关于加快推动全省智能建造与新型</w:t>
      </w:r>
    </w:p>
    <w:p w14:paraId="6476A6E5">
      <w:pPr>
        <w:suppressAutoHyphens/>
        <w:bidi w:val="0"/>
        <w:spacing w:line="700" w:lineRule="exact"/>
        <w:ind w:firstLine="0" w:firstLineChars="0"/>
        <w:jc w:val="center"/>
        <w:rPr>
          <w:rFonts w:hint="eastAsia" w:ascii="宋体" w:hAnsi="宋体" w:eastAsia="宋体"/>
          <w:b/>
          <w:bCs/>
          <w:sz w:val="44"/>
          <w:szCs w:val="44"/>
          <w:shd w:val="clear" w:color="auto" w:fill="FFFFFF"/>
          <w:lang w:bidi="ar"/>
        </w:rPr>
      </w:pPr>
      <w:r>
        <w:rPr>
          <w:rFonts w:hint="eastAsia" w:ascii="宋体" w:hAnsi="宋体" w:eastAsia="宋体"/>
          <w:b/>
          <w:bCs/>
          <w:sz w:val="44"/>
          <w:szCs w:val="44"/>
          <w:shd w:val="clear" w:color="auto" w:fill="FFFFFF"/>
          <w:lang w:bidi="ar"/>
        </w:rPr>
        <w:t>建筑工业化协同发展的通知</w:t>
      </w:r>
    </w:p>
    <w:p w14:paraId="0DE6BD83">
      <w:pPr>
        <w:suppressAutoHyphens/>
        <w:bidi w:val="0"/>
        <w:spacing w:line="560" w:lineRule="exact"/>
        <w:ind w:firstLine="640" w:firstLineChars="200"/>
        <w:rPr>
          <w:rFonts w:hint="eastAsia" w:ascii="仿宋_GB2312" w:hAnsi="仿宋_GB2312" w:eastAsia="仿宋_GB2312" w:cs="仿宋_GB2312"/>
          <w:sz w:val="32"/>
          <w:szCs w:val="40"/>
          <w:lang w:val="en-US" w:eastAsia="zh-CN"/>
        </w:rPr>
      </w:pPr>
    </w:p>
    <w:p w14:paraId="3563BA68">
      <w:pPr>
        <w:suppressAutoHyphens/>
        <w:bidi w:val="0"/>
        <w:spacing w:line="560" w:lineRule="exact"/>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（辽住建〔2024〕71号，</w:t>
      </w:r>
      <w:r>
        <w:rPr>
          <w:rFonts w:hint="eastAsia" w:ascii="仿宋_GB2312" w:hAnsi="仿宋_GB2312" w:eastAsia="仿宋_GB2312" w:cs="仿宋_GB2312"/>
          <w:sz w:val="32"/>
          <w:szCs w:val="40"/>
          <w:lang w:eastAsia="zh-CN"/>
        </w:rPr>
        <w:t>根据</w:t>
      </w:r>
      <w:r>
        <w:rPr>
          <w:rFonts w:hint="eastAsia" w:ascii="仿宋_GB2312" w:hAnsi="仿宋_GB2312" w:eastAsia="仿宋_GB2312" w:cs="仿宋_GB2312"/>
          <w:sz w:val="32"/>
          <w:szCs w:val="40"/>
          <w:lang w:val="en-US" w:eastAsia="zh-CN"/>
        </w:rPr>
        <w:t>2026年3月6日</w:t>
      </w:r>
      <w:r>
        <w:rPr>
          <w:rFonts w:hint="eastAsia" w:ascii="仿宋_GB2312" w:hAnsi="仿宋_GB2312" w:eastAsia="仿宋_GB2312" w:cs="仿宋_GB2312"/>
          <w:sz w:val="32"/>
          <w:szCs w:val="40"/>
          <w:lang w:eastAsia="zh-CN"/>
        </w:rPr>
        <w:t>辽住建〔202</w:t>
      </w: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3</w:t>
      </w:r>
      <w:r>
        <w:rPr>
          <w:rFonts w:hint="default"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lang w:eastAsia="zh-CN"/>
        </w:rPr>
        <w:t>号</w:t>
      </w:r>
      <w:r>
        <w:rPr>
          <w:rFonts w:hint="eastAsia" w:ascii="仿宋_GB2312" w:hAnsi="仿宋_GB2312" w:eastAsia="仿宋_GB2312" w:cs="仿宋_GB2312"/>
          <w:sz w:val="32"/>
          <w:szCs w:val="40"/>
          <w:lang w:val="en-US" w:eastAsia="zh-CN"/>
        </w:rPr>
        <w:t>修改。）</w:t>
      </w:r>
    </w:p>
    <w:p w14:paraId="5C300CEF">
      <w:pPr>
        <w:suppressAutoHyphens/>
        <w:bidi w:val="0"/>
        <w:spacing w:line="560" w:lineRule="exact"/>
        <w:ind w:firstLine="640" w:firstLineChars="200"/>
        <w:rPr>
          <w:rFonts w:hint="eastAsia" w:ascii="仿宋_GB2312" w:hAnsi="仿宋_GB2312" w:eastAsia="仿宋_GB2312" w:cs="仿宋_GB2312"/>
          <w:sz w:val="32"/>
          <w:szCs w:val="40"/>
          <w:lang w:val="en-US" w:eastAsia="zh-CN"/>
        </w:rPr>
      </w:pPr>
    </w:p>
    <w:p w14:paraId="42E14F02">
      <w:pPr>
        <w:suppressAutoHyphens/>
        <w:bidi w:val="0"/>
        <w:spacing w:line="560" w:lineRule="exact"/>
        <w:ind w:firstLine="640" w:firstLineChars="200"/>
        <w:rPr>
          <w:rFonts w:hint="eastAsia" w:ascii="仿宋" w:hAnsi="仿宋" w:eastAsia="仿宋"/>
          <w:szCs w:val="32"/>
        </w:rPr>
      </w:pPr>
      <w:r>
        <w:rPr>
          <w:rFonts w:hint="eastAsia" w:ascii="仿宋" w:hAnsi="仿宋" w:eastAsia="仿宋"/>
          <w:szCs w:val="32"/>
        </w:rPr>
        <w:t>为贯彻落实《住房和城乡建设部等部门关于推动智能建造与建筑工业化协同发展的指导意见》（建市〔</w:t>
      </w:r>
      <w:r>
        <w:rPr>
          <w:rFonts w:ascii="仿宋" w:hAnsi="仿宋" w:eastAsia="仿宋"/>
          <w:szCs w:val="32"/>
        </w:rPr>
        <w:t>2020</w:t>
      </w:r>
      <w:r>
        <w:rPr>
          <w:rFonts w:hint="eastAsia" w:ascii="仿宋" w:hAnsi="仿宋" w:eastAsia="仿宋"/>
          <w:szCs w:val="32"/>
        </w:rPr>
        <w:t>〕</w:t>
      </w:r>
      <w:r>
        <w:rPr>
          <w:rFonts w:ascii="仿宋" w:hAnsi="仿宋" w:eastAsia="仿宋"/>
          <w:szCs w:val="32"/>
        </w:rPr>
        <w:t>60</w:t>
      </w:r>
      <w:r>
        <w:rPr>
          <w:rFonts w:hint="eastAsia" w:ascii="仿宋" w:hAnsi="仿宋" w:eastAsia="仿宋"/>
          <w:szCs w:val="32"/>
        </w:rPr>
        <w:t>号）等文件要求，加快推动全省智能建造与新型建筑工业化协同发展深入实施，促进建筑业转型升级，现将有关事项通知如下：</w:t>
      </w:r>
    </w:p>
    <w:p w14:paraId="279C0BFA">
      <w:pPr>
        <w:suppressAutoHyphens/>
        <w:bidi w:val="0"/>
        <w:spacing w:line="560" w:lineRule="exact"/>
        <w:ind w:firstLine="640" w:firstLineChars="200"/>
        <w:rPr>
          <w:rFonts w:hint="eastAsia" w:ascii="黑体" w:hAnsi="黑体" w:eastAsia="黑体"/>
          <w:szCs w:val="32"/>
        </w:rPr>
      </w:pPr>
      <w:r>
        <w:rPr>
          <w:rFonts w:hint="eastAsia" w:ascii="黑体" w:hAnsi="黑体" w:eastAsia="黑体"/>
          <w:szCs w:val="32"/>
        </w:rPr>
        <w:t>一、工作目标</w:t>
      </w:r>
    </w:p>
    <w:p w14:paraId="2D8CEDF7">
      <w:pPr>
        <w:suppressAutoHyphens/>
        <w:bidi w:val="0"/>
        <w:spacing w:line="560" w:lineRule="exact"/>
        <w:ind w:firstLine="640" w:firstLineChars="200"/>
        <w:rPr>
          <w:rFonts w:hint="eastAsia" w:ascii="仿宋" w:hAnsi="仿宋" w:eastAsia="仿宋"/>
          <w:szCs w:val="32"/>
        </w:rPr>
      </w:pPr>
      <w:r>
        <w:rPr>
          <w:rFonts w:hint="eastAsia" w:ascii="仿宋" w:hAnsi="仿宋" w:eastAsia="仿宋"/>
          <w:szCs w:val="32"/>
        </w:rPr>
        <w:t>2025年，我省建筑工业化、数字化和智能化水平稳步提升，初步形成智能建造与建筑工业化协同发展的政策体系和产业体系。智能建造适宜技术在大型工程项目中的应用比例逐步提升，其中试点城市的应用比例达到20%。培育20家以上智能建造骨干企业，力争实现10项以上智能建造相关成果转化，6部以上智能建造相关标准规范。</w:t>
      </w:r>
    </w:p>
    <w:p w14:paraId="4ABE70B3">
      <w:pPr>
        <w:suppressAutoHyphens/>
        <w:bidi w:val="0"/>
        <w:spacing w:line="560" w:lineRule="exact"/>
        <w:ind w:firstLine="640" w:firstLineChars="200"/>
        <w:rPr>
          <w:rFonts w:hint="eastAsia" w:ascii="仿宋" w:hAnsi="仿宋" w:eastAsia="仿宋"/>
          <w:szCs w:val="32"/>
        </w:rPr>
      </w:pPr>
      <w:r>
        <w:rPr>
          <w:rFonts w:hint="eastAsia" w:ascii="仿宋" w:hAnsi="仿宋" w:eastAsia="仿宋"/>
          <w:szCs w:val="32"/>
        </w:rPr>
        <w:t>2030年，全省智能建造与新型建筑工业化协同发展取得显著进展，智能建造与新型建筑工业化标准体系基本建成。智能建造适宜技术在大型工程建设项目中的应用比例持续提升，其中试点城市占比力争达到50%以上，其他城市占比力争达到30%以上。培育一批在智能建造领域具有核心竞争力的龙头企业、骨干企业，带动中小企业转型升级，引领全省智能建造迈入新发展阶段。</w:t>
      </w:r>
    </w:p>
    <w:p w14:paraId="321FA92A">
      <w:pPr>
        <w:suppressAutoHyphens/>
        <w:bidi w:val="0"/>
        <w:spacing w:line="560" w:lineRule="exact"/>
        <w:ind w:firstLine="640" w:firstLineChars="200"/>
        <w:rPr>
          <w:rFonts w:hint="eastAsia" w:ascii="黑体" w:hAnsi="黑体" w:eastAsia="黑体"/>
          <w:szCs w:val="32"/>
        </w:rPr>
      </w:pPr>
      <w:r>
        <w:rPr>
          <w:rFonts w:hint="eastAsia" w:ascii="黑体" w:hAnsi="黑体" w:eastAsia="黑体"/>
          <w:szCs w:val="32"/>
        </w:rPr>
        <w:t>二、主要任务</w:t>
      </w:r>
    </w:p>
    <w:p w14:paraId="03ECBDFF">
      <w:pPr>
        <w:suppressAutoHyphens/>
        <w:bidi w:val="0"/>
        <w:spacing w:line="560" w:lineRule="exact"/>
        <w:ind w:firstLine="643" w:firstLineChars="200"/>
        <w:rPr>
          <w:rFonts w:hint="eastAsia" w:ascii="仿宋" w:hAnsi="仿宋" w:eastAsia="仿宋"/>
          <w:szCs w:val="32"/>
        </w:rPr>
      </w:pPr>
      <w:r>
        <w:rPr>
          <w:rFonts w:hint="eastAsia" w:ascii="仿宋" w:hAnsi="仿宋" w:eastAsia="仿宋"/>
          <w:b/>
          <w:bCs/>
          <w:szCs w:val="32"/>
        </w:rPr>
        <w:t>1.</w:t>
      </w:r>
      <w:r>
        <w:rPr>
          <w:rFonts w:ascii="仿宋" w:hAnsi="仿宋" w:eastAsia="仿宋"/>
          <w:b/>
          <w:bCs/>
          <w:szCs w:val="32"/>
        </w:rPr>
        <w:t>强化政策引导</w:t>
      </w:r>
      <w:r>
        <w:rPr>
          <w:rFonts w:hint="eastAsia" w:ascii="仿宋" w:hAnsi="仿宋" w:eastAsia="仿宋"/>
          <w:b/>
          <w:bCs/>
          <w:szCs w:val="32"/>
        </w:rPr>
        <w:t>。</w:t>
      </w:r>
      <w:r>
        <w:rPr>
          <w:rFonts w:hint="eastAsia" w:ascii="仿宋" w:hAnsi="仿宋" w:eastAsia="仿宋"/>
          <w:szCs w:val="32"/>
        </w:rPr>
        <w:t>各市应按照《辽宁省人民政府办公厅关于促进建筑业高质量发展的意见》（辽政办发〔2020〕8号）中关于促进建筑业转型升级的工作要求，根据本市的发展水平和基础条件，统筹布局、合理规划，有序推进智能建造与新型建筑工业化协同发展。各级政府要积极开展智能建造应用试点，原则上政府投资的5万平方米以上的房建项目应纳入试点范围，并积极推动实现智能建造全过程集成应用；政府投资的非试点项目，应逐步推进智能建造单项或多项技术的规模化应用。鼓励有条件的社会投资项目积极开展智能建造技术实践，提升工程项目工业化、数字化、智能化水平。开展智能建造技术应用的项目可逐级申报智能建造示范工程。被评选为省级智能建造示范工程的项目，在“绿叶杯”以及行业相关新技术评选中给予一定政策支持。</w:t>
      </w:r>
    </w:p>
    <w:p w14:paraId="1F12CFBA">
      <w:pPr>
        <w:suppressAutoHyphens/>
        <w:bidi w:val="0"/>
        <w:spacing w:line="560" w:lineRule="exact"/>
        <w:ind w:firstLine="643" w:firstLineChars="200"/>
        <w:rPr>
          <w:rFonts w:hint="eastAsia" w:ascii="仿宋" w:hAnsi="仿宋" w:eastAsia="仿宋"/>
          <w:szCs w:val="32"/>
        </w:rPr>
      </w:pPr>
      <w:r>
        <w:rPr>
          <w:rFonts w:hint="eastAsia" w:ascii="仿宋" w:hAnsi="仿宋" w:eastAsia="仿宋"/>
          <w:b/>
          <w:bCs/>
          <w:szCs w:val="32"/>
        </w:rPr>
        <w:t>2.</w:t>
      </w:r>
      <w:r>
        <w:rPr>
          <w:rFonts w:ascii="仿宋" w:hAnsi="仿宋" w:eastAsia="仿宋"/>
          <w:b/>
          <w:bCs/>
          <w:szCs w:val="32"/>
        </w:rPr>
        <w:t>完善标准体系</w:t>
      </w:r>
      <w:r>
        <w:rPr>
          <w:rFonts w:hint="eastAsia" w:ascii="仿宋" w:hAnsi="仿宋" w:eastAsia="仿宋"/>
          <w:b/>
          <w:bCs/>
          <w:szCs w:val="32"/>
        </w:rPr>
        <w:t>。</w:t>
      </w:r>
      <w:r>
        <w:rPr>
          <w:rFonts w:ascii="仿宋" w:hAnsi="仿宋" w:eastAsia="仿宋"/>
          <w:szCs w:val="32"/>
        </w:rPr>
        <w:t>开展智能建造</w:t>
      </w:r>
      <w:r>
        <w:rPr>
          <w:rFonts w:hint="eastAsia" w:ascii="仿宋" w:hAnsi="仿宋" w:eastAsia="仿宋"/>
          <w:szCs w:val="32"/>
        </w:rPr>
        <w:t>与新型建筑工业化</w:t>
      </w:r>
      <w:r>
        <w:rPr>
          <w:rFonts w:ascii="仿宋" w:hAnsi="仿宋" w:eastAsia="仿宋"/>
          <w:szCs w:val="32"/>
        </w:rPr>
        <w:t>相关标准的编制工作，构建先进适用的</w:t>
      </w:r>
      <w:r>
        <w:rPr>
          <w:rFonts w:hint="eastAsia" w:ascii="仿宋" w:hAnsi="仿宋" w:eastAsia="仿宋"/>
          <w:szCs w:val="32"/>
        </w:rPr>
        <w:t>智能建造</w:t>
      </w:r>
      <w:r>
        <w:rPr>
          <w:rFonts w:ascii="仿宋" w:hAnsi="仿宋" w:eastAsia="仿宋"/>
          <w:szCs w:val="32"/>
        </w:rPr>
        <w:t>标准体系。加快</w:t>
      </w:r>
      <w:r>
        <w:rPr>
          <w:rFonts w:hint="eastAsia" w:ascii="仿宋" w:hAnsi="仿宋" w:eastAsia="仿宋"/>
          <w:szCs w:val="32"/>
        </w:rPr>
        <w:t>智能建造与新型建筑工业化</w:t>
      </w:r>
      <w:r>
        <w:rPr>
          <w:rFonts w:ascii="仿宋" w:hAnsi="仿宋" w:eastAsia="仿宋"/>
          <w:szCs w:val="32"/>
        </w:rPr>
        <w:t>基础共性标准的研究工作，为推动智能建造与</w:t>
      </w:r>
      <w:r>
        <w:rPr>
          <w:rFonts w:hint="eastAsia" w:ascii="仿宋" w:hAnsi="仿宋" w:eastAsia="仿宋"/>
          <w:szCs w:val="32"/>
        </w:rPr>
        <w:t>新型</w:t>
      </w:r>
      <w:r>
        <w:rPr>
          <w:rFonts w:ascii="仿宋" w:hAnsi="仿宋" w:eastAsia="仿宋"/>
          <w:szCs w:val="32"/>
        </w:rPr>
        <w:t>建筑工业化协同发展提供全面技术支撑。</w:t>
      </w:r>
      <w:r>
        <w:rPr>
          <w:rFonts w:hint="eastAsia" w:ascii="仿宋" w:hAnsi="仿宋" w:eastAsia="仿宋"/>
          <w:szCs w:val="32"/>
        </w:rPr>
        <w:t>引导行业骨干企业、行业协会编制设计技术、生产技术、施工技术、运维技术等相关标准规范，鼓励企业标准、团体标准、地方标准统筹建设、逐步升级。</w:t>
      </w:r>
    </w:p>
    <w:p w14:paraId="06DDE150">
      <w:pPr>
        <w:suppressAutoHyphens/>
        <w:bidi w:val="0"/>
        <w:spacing w:line="560" w:lineRule="exact"/>
        <w:ind w:firstLine="643" w:firstLineChars="200"/>
        <w:rPr>
          <w:rFonts w:hint="eastAsia" w:ascii="仿宋" w:hAnsi="仿宋" w:eastAsia="仿宋"/>
          <w:szCs w:val="32"/>
        </w:rPr>
      </w:pPr>
      <w:r>
        <w:rPr>
          <w:rFonts w:hint="eastAsia" w:ascii="仿宋" w:hAnsi="仿宋" w:eastAsia="仿宋"/>
          <w:b/>
          <w:bCs/>
          <w:szCs w:val="32"/>
        </w:rPr>
        <w:t>3.推进数字化全流程协同应用。</w:t>
      </w:r>
      <w:r>
        <w:rPr>
          <w:rFonts w:hint="eastAsia" w:ascii="仿宋" w:hAnsi="仿宋" w:eastAsia="仿宋"/>
          <w:szCs w:val="32"/>
        </w:rPr>
        <w:t>在政府投资工程、大型公建和房地产开发项目中积极推广BIM技术，推进BIM在勘察设计、施工、生产、运维等多场景的协同应用。探索推进BIM与城市信息模型（CIM）平台的融通联动，为构建智慧城市提供底层数据。推进数字一体化设计，统筹建筑结构、机电设备、部品部件、装配施工、装饰装修的功能需求及产品特性，实现信息在项目全生命周期内的有效传递及实时共享。推进标准化设计实施，增强部品部件的通用性，提升建筑平面、立面应用标准化部件组合的灵活性，实现接口设计标准化，提升通用部品部件的使用及设计方案的多样组合特性，增强设计方案的可复制性。</w:t>
      </w:r>
    </w:p>
    <w:p w14:paraId="2569FB7A">
      <w:pPr>
        <w:suppressAutoHyphens/>
        <w:bidi w:val="0"/>
        <w:spacing w:line="560" w:lineRule="exact"/>
        <w:ind w:firstLine="643" w:firstLineChars="200"/>
        <w:rPr>
          <w:rFonts w:hint="eastAsia" w:ascii="仿宋" w:hAnsi="仿宋" w:eastAsia="仿宋"/>
          <w:szCs w:val="32"/>
        </w:rPr>
      </w:pPr>
      <w:r>
        <w:rPr>
          <w:rFonts w:hint="eastAsia" w:ascii="仿宋" w:hAnsi="仿宋" w:eastAsia="仿宋"/>
          <w:b/>
          <w:bCs/>
          <w:szCs w:val="32"/>
        </w:rPr>
        <w:t>4.推动部品部件智能化生产。</w:t>
      </w:r>
      <w:r>
        <w:rPr>
          <w:rFonts w:hint="eastAsia" w:ascii="仿宋" w:hAnsi="仿宋" w:eastAsia="仿宋"/>
          <w:szCs w:val="32"/>
        </w:rPr>
        <w:t>重点</w:t>
      </w:r>
      <w:r>
        <w:rPr>
          <w:rFonts w:ascii="仿宋" w:hAnsi="仿宋" w:eastAsia="仿宋"/>
          <w:szCs w:val="32"/>
        </w:rPr>
        <w:t>依托现有装配式建筑产业，推进智能工厂建设，引导行业骨干企业对房</w:t>
      </w:r>
      <w:r>
        <w:rPr>
          <w:rFonts w:hint="eastAsia" w:ascii="仿宋" w:hAnsi="仿宋" w:eastAsia="仿宋"/>
          <w:szCs w:val="32"/>
        </w:rPr>
        <w:t>建</w:t>
      </w:r>
      <w:r>
        <w:rPr>
          <w:rFonts w:ascii="仿宋" w:hAnsi="仿宋" w:eastAsia="仿宋"/>
          <w:szCs w:val="32"/>
        </w:rPr>
        <w:t>、市政、地铁管片、钢结构、装饰装修等工厂进行数字化、智能化的升级改造</w:t>
      </w:r>
      <w:r>
        <w:rPr>
          <w:rFonts w:hint="eastAsia" w:ascii="仿宋" w:hAnsi="仿宋" w:eastAsia="仿宋"/>
          <w:szCs w:val="32"/>
        </w:rPr>
        <w:t>，</w:t>
      </w:r>
      <w:r>
        <w:rPr>
          <w:rFonts w:ascii="仿宋" w:hAnsi="仿宋" w:eastAsia="仿宋"/>
          <w:szCs w:val="32"/>
        </w:rPr>
        <w:t>提升装配式建筑产业的智能化水平。</w:t>
      </w:r>
      <w:r>
        <w:rPr>
          <w:rFonts w:hint="eastAsia" w:ascii="仿宋" w:hAnsi="仿宋" w:eastAsia="仿宋"/>
          <w:szCs w:val="32"/>
        </w:rPr>
        <w:t>发展装配化装修，以集成厨房、集成卫浴、干式工法和管线分离等技术为核心，推动装配化装修生产，探索装配化装修与土建工程的协同。引导部品部件生产企业更新升级产品质量追溯系统，并通过RFID芯片、粘贴二维码等技术，实现原材料检验、生产过程检验、部品生产入库和部品运输等环节质量可追溯。</w:t>
      </w:r>
    </w:p>
    <w:p w14:paraId="3A033412">
      <w:pPr>
        <w:suppressAutoHyphens/>
        <w:bidi w:val="0"/>
        <w:spacing w:line="560" w:lineRule="exact"/>
        <w:ind w:firstLine="643" w:firstLineChars="200"/>
        <w:rPr>
          <w:rFonts w:hint="eastAsia" w:ascii="仿宋" w:hAnsi="仿宋" w:eastAsia="仿宋"/>
          <w:szCs w:val="32"/>
        </w:rPr>
      </w:pPr>
      <w:r>
        <w:rPr>
          <w:rFonts w:hint="eastAsia" w:ascii="仿宋" w:hAnsi="仿宋" w:eastAsia="仿宋"/>
          <w:b/>
          <w:bCs/>
          <w:szCs w:val="32"/>
        </w:rPr>
        <w:t>5.</w:t>
      </w:r>
      <w:r>
        <w:rPr>
          <w:rFonts w:hint="eastAsia" w:ascii="仿宋" w:hAnsi="仿宋" w:eastAsia="仿宋"/>
          <w:b/>
          <w:bCs/>
          <w:szCs w:val="32"/>
          <w:vertAlign w:val="baseline"/>
          <w:lang w:val="en-US" w:eastAsia="zh-CN"/>
        </w:rPr>
        <w:t>推广建筑机器人等智能装备的应用。</w:t>
      </w:r>
      <w:r>
        <w:rPr>
          <w:rFonts w:hint="eastAsia" w:ascii="仿宋" w:hAnsi="仿宋" w:eastAsia="仿宋"/>
          <w:szCs w:val="32"/>
          <w:vertAlign w:val="baseline"/>
          <w:lang w:val="en-US" w:eastAsia="zh-CN"/>
        </w:rPr>
        <w:t>鼓励和支持有条件的企业、项目开展建筑机器人研发和应用，减少现场劳务用工，提升施工效率。</w:t>
      </w:r>
      <w:r>
        <w:rPr>
          <w:rFonts w:hint="eastAsia" w:ascii="仿宋" w:hAnsi="仿宋" w:eastAsia="仿宋"/>
          <w:szCs w:val="32"/>
        </w:rPr>
        <w:t>引导政府投资工程、大型公建和房地产开发项目推广建筑机器人在深基坑、高空作业、有限空间作业、物料运输等“危大”工程多场景的机器代人施工与辅助施工，替代“危、繁、脏、重”人工作业，提高工程建设机械化、智能化、安全化水平。引导政府投资工程、大型公建和房地产开发项目采用</w:t>
      </w:r>
      <w:bookmarkStart w:id="0" w:name="_Hlk176182509"/>
      <w:r>
        <w:rPr>
          <w:rFonts w:hint="eastAsia" w:ascii="仿宋" w:hAnsi="仿宋" w:eastAsia="仿宋"/>
          <w:szCs w:val="32"/>
        </w:rPr>
        <w:t>智能升降机、智能塔吊、集成平台、造楼机、无人机</w:t>
      </w:r>
      <w:bookmarkEnd w:id="0"/>
      <w:r>
        <w:rPr>
          <w:rFonts w:hint="eastAsia" w:ascii="仿宋" w:hAnsi="仿宋" w:eastAsia="仿宋"/>
          <w:szCs w:val="32"/>
        </w:rPr>
        <w:t>等先进智能装备，实现数字技术与传统施工现场的深度融合。</w:t>
      </w:r>
    </w:p>
    <w:p w14:paraId="334E56EB">
      <w:pPr>
        <w:suppressAutoHyphens/>
        <w:bidi w:val="0"/>
        <w:spacing w:line="560" w:lineRule="exact"/>
        <w:ind w:firstLine="643" w:firstLineChars="200"/>
        <w:rPr>
          <w:rFonts w:ascii="仿宋" w:hAnsi="仿宋" w:eastAsia="仿宋"/>
          <w:szCs w:val="32"/>
        </w:rPr>
      </w:pPr>
      <w:r>
        <w:rPr>
          <w:rFonts w:hint="eastAsia" w:ascii="仿宋" w:hAnsi="仿宋" w:eastAsia="仿宋"/>
          <w:b/>
          <w:bCs/>
          <w:szCs w:val="32"/>
        </w:rPr>
        <w:t>6.推进智慧工地建设。</w:t>
      </w:r>
      <w:r>
        <w:rPr>
          <w:rFonts w:hint="eastAsia" w:ascii="仿宋" w:hAnsi="仿宋" w:eastAsia="仿宋"/>
          <w:szCs w:val="32"/>
        </w:rPr>
        <w:t>在全省房建市政工程领域全面推行智慧工地建设和应用，统筹推进所有房屋建筑工程以及造价2000万元以上的市政基础设施和轨道交通工程应用视频监控、环境监测、塔式起重机监控、施工升降机监控、深基坑可视化监测等系统，持续推动监管能力现代化，实现信息实时采集、互通共享、工作协调、智能决策分析、风险预控等功能的数字化施工管理模式。推进全省工程质量安全综合监管平台建设，以施工过程管理为核心，全面接入智慧工地监测数据，构建覆盖质量安全领域监管部门、监督机构、企业、项目、人员、设备的全量、全要素、跨地域、跨层级的数字化监管体系。</w:t>
      </w:r>
    </w:p>
    <w:p w14:paraId="4025804B">
      <w:pPr>
        <w:suppressAutoHyphens/>
        <w:bidi w:val="0"/>
        <w:spacing w:line="560" w:lineRule="exact"/>
        <w:ind w:firstLine="643" w:firstLineChars="200"/>
        <w:rPr>
          <w:rFonts w:hint="eastAsia" w:ascii="仿宋" w:hAnsi="仿宋" w:eastAsia="仿宋"/>
          <w:szCs w:val="32"/>
        </w:rPr>
      </w:pPr>
      <w:r>
        <w:rPr>
          <w:rFonts w:hint="eastAsia" w:ascii="仿宋" w:hAnsi="仿宋" w:eastAsia="仿宋"/>
          <w:b/>
          <w:bCs/>
          <w:szCs w:val="32"/>
        </w:rPr>
        <w:t>7.发挥沈阳市试点带动作用。</w:t>
      </w:r>
      <w:r>
        <w:rPr>
          <w:rFonts w:hint="eastAsia" w:ascii="仿宋" w:hAnsi="仿宋" w:eastAsia="仿宋"/>
          <w:szCs w:val="32"/>
        </w:rPr>
        <w:t>沈阳市应积极在土地规划、财税金融、科技创新、工程建设、人才培养等方面给予推动智能建造发展的政策支持。加强对工程项目设计、生产、施工、验收、备案等环节的监管，建立与智能建造相配套的建筑市场、工程质量安全和工程造价等方面监管措施。推进房屋建筑、市政基础设施、轨道交通、桥梁隧道等政府投资工程、大型公建和房地产开发项目开展智能建造试点，广泛应用智能建造技术，形成一批智能建造与新型建筑工业化协同发展可复制可推广经验；推进智能建造产业园区建设，培育新型建筑业总部基地，积极争取国家、省级重点实验室入驻园区，推进建筑业与先进制造、信息技术、人工智能深度融合，培育一批具备先进技术和创新能力的智能建造龙头企业、骨干企业，形成产业聚集效应；通过开展BIM报建、BIM审图试点，逐步推进BIM在</w:t>
      </w:r>
      <w:r>
        <w:rPr>
          <w:rFonts w:ascii="仿宋" w:hAnsi="仿宋" w:eastAsia="仿宋"/>
          <w:szCs w:val="28"/>
        </w:rPr>
        <w:t>工程</w:t>
      </w:r>
      <w:r>
        <w:rPr>
          <w:rFonts w:hint="eastAsia" w:ascii="仿宋" w:hAnsi="仿宋" w:eastAsia="仿宋"/>
          <w:szCs w:val="28"/>
        </w:rPr>
        <w:t>项目</w:t>
      </w:r>
      <w:r>
        <w:rPr>
          <w:rFonts w:ascii="仿宋" w:hAnsi="仿宋" w:eastAsia="仿宋"/>
          <w:szCs w:val="28"/>
        </w:rPr>
        <w:t>全生命周期的集成应用</w:t>
      </w:r>
      <w:r>
        <w:rPr>
          <w:rFonts w:hint="eastAsia" w:ascii="仿宋" w:hAnsi="仿宋" w:eastAsia="仿宋"/>
          <w:szCs w:val="28"/>
        </w:rPr>
        <w:t>；引导智能建造相关企业共同建立、实时维护部品部件库，明确部品部件的分类编码，应用无线射频识别（RFID）技术，实现生产全流程的信息实时采集、互联互通；</w:t>
      </w:r>
      <w:r>
        <w:rPr>
          <w:rFonts w:hint="eastAsia" w:ascii="仿宋" w:hAnsi="仿宋" w:eastAsia="仿宋"/>
          <w:szCs w:val="32"/>
        </w:rPr>
        <w:t>深化智能建造相关人才培养和评价模式的改革，进一步提升人才竞争力与行业整体发展水平。</w:t>
      </w:r>
    </w:p>
    <w:p w14:paraId="74F790D9">
      <w:pPr>
        <w:suppressAutoHyphens/>
        <w:bidi w:val="0"/>
        <w:spacing w:line="560" w:lineRule="exact"/>
        <w:ind w:firstLine="643" w:firstLineChars="200"/>
        <w:rPr>
          <w:rFonts w:hint="eastAsia" w:ascii="仿宋" w:hAnsi="仿宋" w:eastAsia="仿宋"/>
          <w:szCs w:val="32"/>
        </w:rPr>
      </w:pPr>
      <w:r>
        <w:rPr>
          <w:rFonts w:hint="eastAsia" w:ascii="仿宋" w:hAnsi="仿宋" w:eastAsia="仿宋"/>
          <w:b/>
          <w:bCs/>
          <w:szCs w:val="32"/>
        </w:rPr>
        <w:t>8.强化示范引领作用。</w:t>
      </w:r>
      <w:r>
        <w:rPr>
          <w:rFonts w:hint="eastAsia" w:ascii="仿宋" w:hAnsi="仿宋" w:eastAsia="仿宋"/>
          <w:szCs w:val="32"/>
        </w:rPr>
        <w:t>各市应按照本通知的有关要求，创建市级智能建造示范工程，各市住建局应择优向省住建厅推荐参评省级智能建造示范工程。沈阳、大连推荐参评的智能建造项目，应积极拓展应用场景，确保应用的智能建造技术至少覆盖数字化设计、智能生产、智能施工和智慧运维等智能建造应用场景中的两类，鼓励多场景协同应用，并至少应用BIM技术、全流程管理软件平台（包括但不限于设计协同平台、智能审查平台、智慧工地平台、数字化交付平台、CIM平台等）、建筑机器人、智能升降机、智能塔吊、造楼机、无人机等智能化技术中的三项，每年推荐数量不少于5个。其他城市推荐的示范工程应至少应用一类智能建造场景，并至少应用一项智能建造技术，每年推荐数量不少于2个。省住建厅将逐步完善智能建造评价机制并每年向社会公布一批智能建造示范工程。</w:t>
      </w:r>
    </w:p>
    <w:p w14:paraId="17206852">
      <w:pPr>
        <w:suppressAutoHyphens/>
        <w:bidi w:val="0"/>
        <w:spacing w:line="560" w:lineRule="exact"/>
        <w:ind w:firstLine="643" w:firstLineChars="200"/>
        <w:rPr>
          <w:rFonts w:hint="eastAsia" w:ascii="仿宋" w:hAnsi="仿宋" w:eastAsia="仿宋"/>
          <w:szCs w:val="32"/>
        </w:rPr>
      </w:pPr>
      <w:r>
        <w:rPr>
          <w:rFonts w:hint="eastAsia" w:ascii="仿宋" w:hAnsi="仿宋" w:eastAsia="仿宋"/>
          <w:b/>
          <w:bCs/>
          <w:szCs w:val="32"/>
        </w:rPr>
        <w:t>9.构建产业互联网平台。</w:t>
      </w:r>
      <w:r>
        <w:rPr>
          <w:rFonts w:hint="eastAsia" w:ascii="仿宋" w:hAnsi="仿宋" w:eastAsia="仿宋"/>
          <w:szCs w:val="32"/>
        </w:rPr>
        <w:t>引导建筑业龙头企业、骨干企业、优势互联网企业建设涵盖设计、施工、咨询、用工及部品部件采购、生产、运输等工程建设全产业链的建筑产业互联网平台，提高供应链上下游协同发展水平，推动社会资源高效配置。</w:t>
      </w:r>
    </w:p>
    <w:p w14:paraId="2EB395C6">
      <w:pPr>
        <w:suppressAutoHyphens/>
        <w:bidi w:val="0"/>
        <w:spacing w:line="560" w:lineRule="exact"/>
        <w:ind w:firstLine="640" w:firstLineChars="200"/>
        <w:rPr>
          <w:rFonts w:hint="eastAsia" w:ascii="黑体" w:hAnsi="黑体" w:eastAsia="黑体"/>
          <w:szCs w:val="32"/>
        </w:rPr>
      </w:pPr>
      <w:r>
        <w:rPr>
          <w:rFonts w:hint="eastAsia" w:ascii="黑体" w:hAnsi="黑体" w:eastAsia="黑体"/>
          <w:szCs w:val="32"/>
        </w:rPr>
        <w:t>三、工作要求</w:t>
      </w:r>
    </w:p>
    <w:p w14:paraId="693D9A3B">
      <w:pPr>
        <w:suppressAutoHyphens/>
        <w:bidi w:val="0"/>
        <w:spacing w:line="560" w:lineRule="exact"/>
        <w:ind w:firstLine="643" w:firstLineChars="200"/>
        <w:rPr>
          <w:rFonts w:hint="eastAsia" w:ascii="仿宋" w:hAnsi="仿宋" w:eastAsia="仿宋"/>
          <w:szCs w:val="32"/>
        </w:rPr>
      </w:pPr>
      <w:r>
        <w:rPr>
          <w:rFonts w:hint="eastAsia" w:ascii="仿宋" w:hAnsi="仿宋" w:eastAsia="仿宋"/>
          <w:b/>
          <w:bCs/>
          <w:szCs w:val="32"/>
        </w:rPr>
        <w:t>1.</w:t>
      </w:r>
      <w:r>
        <w:rPr>
          <w:rFonts w:ascii="仿宋" w:hAnsi="仿宋" w:eastAsia="仿宋"/>
          <w:b/>
          <w:bCs/>
          <w:szCs w:val="32"/>
        </w:rPr>
        <w:t>加强组织领导</w:t>
      </w:r>
      <w:r>
        <w:rPr>
          <w:rFonts w:hint="eastAsia" w:ascii="仿宋" w:hAnsi="仿宋" w:eastAsia="仿宋"/>
          <w:b/>
          <w:bCs/>
          <w:szCs w:val="32"/>
        </w:rPr>
        <w:t>。</w:t>
      </w:r>
      <w:r>
        <w:rPr>
          <w:rFonts w:hint="eastAsia" w:ascii="仿宋" w:hAnsi="仿宋" w:eastAsia="仿宋"/>
          <w:szCs w:val="32"/>
        </w:rPr>
        <w:t>各市要统筹安排智能建造与新型建筑工业化协同发展工作，强化组织领导，建立推进智能建造的体系框架和评估框架，完善配套措施和支持政策，建立健全工作机制。要充分发挥各相关部门职能作用，强化部门联动，建立协同推进机制，形成工作合力。</w:t>
      </w:r>
    </w:p>
    <w:p w14:paraId="4C166992">
      <w:pPr>
        <w:suppressAutoHyphens/>
        <w:bidi w:val="0"/>
        <w:spacing w:line="560" w:lineRule="exact"/>
        <w:ind w:firstLine="643" w:firstLineChars="200"/>
        <w:rPr>
          <w:rFonts w:hint="eastAsia" w:ascii="仿宋" w:hAnsi="仿宋" w:eastAsia="仿宋"/>
          <w:szCs w:val="32"/>
        </w:rPr>
      </w:pPr>
      <w:r>
        <w:rPr>
          <w:rFonts w:hint="eastAsia" w:ascii="仿宋" w:hAnsi="仿宋" w:eastAsia="仿宋"/>
          <w:b/>
          <w:bCs/>
          <w:szCs w:val="32"/>
        </w:rPr>
        <w:t>2.细化工作措施。</w:t>
      </w:r>
      <w:r>
        <w:rPr>
          <w:rFonts w:hint="eastAsia" w:ascii="仿宋" w:hAnsi="仿宋" w:eastAsia="仿宋"/>
          <w:szCs w:val="32"/>
        </w:rPr>
        <w:t>各市要因地制宜制定智能建造与新型建筑工业化发展规划，明确时间表、路线图，制定出台本市推进智能建造与新型建筑工业化协同发展的实施细则，并于2024年底前报省住建厅。</w:t>
      </w:r>
    </w:p>
    <w:p w14:paraId="52945BFE">
      <w:pPr>
        <w:suppressAutoHyphens/>
        <w:bidi w:val="0"/>
        <w:spacing w:line="560" w:lineRule="exact"/>
        <w:ind w:firstLine="643" w:firstLineChars="200"/>
        <w:rPr>
          <w:rFonts w:hint="eastAsia" w:ascii="仿宋" w:hAnsi="仿宋" w:eastAsia="仿宋"/>
          <w:szCs w:val="32"/>
        </w:rPr>
      </w:pPr>
      <w:r>
        <w:rPr>
          <w:rFonts w:hint="eastAsia" w:ascii="仿宋" w:hAnsi="仿宋" w:eastAsia="仿宋"/>
          <w:b/>
          <w:bCs/>
          <w:szCs w:val="32"/>
        </w:rPr>
        <w:t>3.加大宣传力度。</w:t>
      </w:r>
      <w:r>
        <w:rPr>
          <w:rFonts w:hint="eastAsia" w:ascii="仿宋" w:hAnsi="仿宋" w:eastAsia="仿宋"/>
          <w:szCs w:val="32"/>
        </w:rPr>
        <w:t>充分发挥新闻媒体、网站等宣传引导作用，及时发布有关政策，通过示范引领、基地建设、交流观摩等形式广泛宣传智能建造与新型建筑工业化建设成果，调动社会各界参与的积极性，提高社会认知度，营造支持智能建造与新型建筑工业化发展的良好氛围。</w:t>
      </w:r>
    </w:p>
    <w:p w14:paraId="28ED449E"/>
    <w:p w14:paraId="22CE25A2"/>
    <w:p w14:paraId="29F08D82"/>
    <w:p w14:paraId="0D94F805">
      <w:pPr>
        <w:suppressAutoHyphens/>
        <w:bidi w:val="0"/>
        <w:snapToGrid w:val="0"/>
        <w:jc w:val="center"/>
        <w:rPr>
          <w:rFonts w:ascii="宋体" w:hAnsi="宋体" w:eastAsia="宋体" w:cs="方正小标宋简体"/>
          <w:b/>
          <w:sz w:val="44"/>
          <w:szCs w:val="44"/>
        </w:rPr>
      </w:pPr>
      <w:r>
        <w:rPr>
          <w:rFonts w:hint="eastAsia" w:ascii="宋体" w:hAnsi="宋体" w:eastAsia="宋体" w:cs="方正小标宋简体"/>
          <w:b/>
          <w:sz w:val="44"/>
          <w:szCs w:val="44"/>
        </w:rPr>
        <w:t>关于印发《辽宁省装配式建筑示范城市管理办法》和《辽宁省装配式建筑产业基地管理</w:t>
      </w:r>
    </w:p>
    <w:p w14:paraId="5D6BC69A">
      <w:pPr>
        <w:suppressAutoHyphens/>
        <w:bidi w:val="0"/>
        <w:snapToGrid w:val="0"/>
        <w:jc w:val="center"/>
        <w:rPr>
          <w:rFonts w:ascii="宋体" w:hAnsi="宋体" w:eastAsia="宋体" w:cs="方正小标宋简体"/>
          <w:b/>
          <w:sz w:val="44"/>
          <w:szCs w:val="44"/>
        </w:rPr>
      </w:pPr>
      <w:r>
        <w:rPr>
          <w:rFonts w:hint="eastAsia" w:ascii="宋体" w:hAnsi="宋体" w:eastAsia="宋体" w:cs="方正小标宋简体"/>
          <w:b/>
          <w:sz w:val="44"/>
          <w:szCs w:val="44"/>
        </w:rPr>
        <w:t>办法》的通知</w:t>
      </w:r>
    </w:p>
    <w:p w14:paraId="34D11975">
      <w:pPr>
        <w:suppressAutoHyphens/>
        <w:bidi w:val="0"/>
        <w:spacing w:line="560" w:lineRule="exact"/>
        <w:ind w:firstLine="640" w:firstLineChars="200"/>
        <w:rPr>
          <w:rFonts w:hint="eastAsia" w:ascii="仿宋_GB2312" w:hAnsi="仿宋_GB2312" w:eastAsia="仿宋_GB2312" w:cs="仿宋_GB2312"/>
          <w:sz w:val="32"/>
          <w:szCs w:val="40"/>
          <w:lang w:val="en-US" w:eastAsia="zh-CN"/>
        </w:rPr>
      </w:pPr>
    </w:p>
    <w:p w14:paraId="4ABA0C7D">
      <w:pPr>
        <w:suppressAutoHyphens/>
        <w:bidi w:val="0"/>
        <w:spacing w:line="560" w:lineRule="exact"/>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（辽住建〔2019〕119号，</w:t>
      </w:r>
      <w:r>
        <w:rPr>
          <w:rFonts w:hint="eastAsia" w:ascii="仿宋_GB2312" w:hAnsi="仿宋_GB2312" w:eastAsia="仿宋_GB2312" w:cs="仿宋_GB2312"/>
          <w:sz w:val="32"/>
          <w:szCs w:val="40"/>
          <w:lang w:eastAsia="zh-CN"/>
        </w:rPr>
        <w:t>根据</w:t>
      </w:r>
      <w:r>
        <w:rPr>
          <w:rFonts w:hint="eastAsia" w:ascii="仿宋_GB2312" w:hAnsi="仿宋_GB2312" w:eastAsia="仿宋_GB2312" w:cs="仿宋_GB2312"/>
          <w:sz w:val="32"/>
          <w:szCs w:val="40"/>
          <w:lang w:val="en-US" w:eastAsia="zh-CN"/>
        </w:rPr>
        <w:t>2026年3月6日</w:t>
      </w:r>
      <w:r>
        <w:rPr>
          <w:rFonts w:hint="eastAsia" w:ascii="仿宋_GB2312" w:hAnsi="仿宋_GB2312" w:eastAsia="仿宋_GB2312" w:cs="仿宋_GB2312"/>
          <w:sz w:val="32"/>
          <w:szCs w:val="40"/>
          <w:lang w:eastAsia="zh-CN"/>
        </w:rPr>
        <w:t>辽住建〔202</w:t>
      </w: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3</w:t>
      </w:r>
      <w:r>
        <w:rPr>
          <w:rFonts w:hint="default"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lang w:eastAsia="zh-CN"/>
        </w:rPr>
        <w:t>号</w:t>
      </w:r>
      <w:r>
        <w:rPr>
          <w:rFonts w:hint="eastAsia" w:ascii="仿宋_GB2312" w:hAnsi="仿宋_GB2312" w:eastAsia="仿宋_GB2312" w:cs="仿宋_GB2312"/>
          <w:sz w:val="32"/>
          <w:szCs w:val="40"/>
          <w:lang w:val="en-US" w:eastAsia="zh-CN"/>
        </w:rPr>
        <w:t>修改。）</w:t>
      </w:r>
    </w:p>
    <w:p w14:paraId="2FCE72F2">
      <w:pPr>
        <w:keepNext w:val="0"/>
        <w:keepLines w:val="0"/>
        <w:widowControl w:val="0"/>
        <w:snapToGrid w:val="0"/>
        <w:spacing w:before="0" w:after="0" w:line="360" w:lineRule="auto"/>
        <w:jc w:val="left"/>
        <w:outlineLvl w:val="0"/>
        <w:rPr>
          <w:rFonts w:hint="eastAsia" w:ascii="仿宋_GB2312" w:hAnsi="仿宋_GB2312" w:eastAsia="仿宋_GB2312" w:cs="仿宋_GB2312"/>
          <w:sz w:val="32"/>
          <w:szCs w:val="40"/>
          <w:lang w:val="en-US" w:eastAsia="zh-CN"/>
        </w:rPr>
      </w:pPr>
    </w:p>
    <w:p w14:paraId="13772AA4">
      <w:pPr>
        <w:suppressAutoHyphens/>
        <w:bidi w:val="0"/>
        <w:rPr>
          <w:rFonts w:ascii="仿宋" w:hAnsi="仿宋" w:eastAsia="仿宋"/>
          <w:sz w:val="32"/>
          <w:szCs w:val="32"/>
        </w:rPr>
      </w:pPr>
      <w:r>
        <w:rPr>
          <w:rFonts w:hint="eastAsia" w:ascii="仿宋" w:hAnsi="仿宋" w:eastAsia="仿宋"/>
          <w:sz w:val="32"/>
          <w:szCs w:val="32"/>
        </w:rPr>
        <w:t>各市、沈抚新区住建局：</w:t>
      </w:r>
    </w:p>
    <w:p w14:paraId="64364D4B">
      <w:pPr>
        <w:suppressAutoHyphens/>
        <w:bidi w:val="0"/>
        <w:ind w:firstLine="645"/>
        <w:rPr>
          <w:rFonts w:ascii="仿宋" w:hAnsi="仿宋" w:eastAsia="仿宋"/>
          <w:sz w:val="32"/>
          <w:szCs w:val="32"/>
        </w:rPr>
      </w:pPr>
      <w:r>
        <w:rPr>
          <w:rFonts w:hint="eastAsia" w:ascii="仿宋" w:hAnsi="仿宋" w:eastAsia="仿宋"/>
          <w:sz w:val="32"/>
          <w:szCs w:val="32"/>
        </w:rPr>
        <w:t>现将《辽宁省装配式建筑示范城市管理办法》和《辽宁省装配式建筑产业基地管理办法》印发给你们，请结合本地区实际情况，认真遵照执行。</w:t>
      </w:r>
    </w:p>
    <w:p w14:paraId="2E817813">
      <w:pPr>
        <w:suppressAutoHyphens/>
        <w:wordWrap w:val="0"/>
        <w:bidi w:val="0"/>
        <w:ind w:firstLine="645"/>
        <w:jc w:val="right"/>
        <w:rPr>
          <w:rFonts w:ascii="仿宋" w:hAnsi="仿宋" w:eastAsia="仿宋"/>
          <w:sz w:val="32"/>
          <w:szCs w:val="32"/>
        </w:rPr>
      </w:pPr>
      <w:r>
        <w:rPr>
          <w:rFonts w:hint="eastAsia" w:ascii="仿宋" w:hAnsi="仿宋" w:eastAsia="仿宋"/>
          <w:sz w:val="32"/>
          <w:szCs w:val="32"/>
        </w:rPr>
        <w:t xml:space="preserve">辽宁省住房和城乡建设厅      </w:t>
      </w:r>
    </w:p>
    <w:p w14:paraId="08B74CBB">
      <w:pPr>
        <w:suppressAutoHyphens/>
        <w:wordWrap w:val="0"/>
        <w:bidi w:val="0"/>
        <w:ind w:firstLine="1280" w:firstLineChars="400"/>
        <w:jc w:val="right"/>
        <w:rPr>
          <w:rFonts w:ascii="仿宋" w:hAnsi="仿宋" w:eastAsia="仿宋"/>
          <w:sz w:val="32"/>
          <w:szCs w:val="32"/>
        </w:rPr>
      </w:pPr>
      <w:r>
        <w:rPr>
          <w:rFonts w:ascii="仿宋" w:hAnsi="仿宋" w:eastAsia="仿宋"/>
          <w:sz w:val="32"/>
          <w:szCs w:val="32"/>
        </w:rPr>
        <w:t>2019年</w:t>
      </w:r>
      <w:r>
        <w:rPr>
          <w:rFonts w:hint="eastAsia" w:ascii="仿宋" w:hAnsi="仿宋" w:eastAsia="仿宋"/>
          <w:sz w:val="32"/>
          <w:szCs w:val="32"/>
        </w:rPr>
        <w:t>8</w:t>
      </w:r>
      <w:r>
        <w:rPr>
          <w:rFonts w:ascii="仿宋" w:hAnsi="仿宋" w:eastAsia="仿宋"/>
          <w:sz w:val="32"/>
          <w:szCs w:val="32"/>
        </w:rPr>
        <w:t>月</w:t>
      </w:r>
      <w:r>
        <w:rPr>
          <w:rFonts w:hint="eastAsia" w:ascii="仿宋" w:hAnsi="仿宋" w:eastAsia="仿宋"/>
          <w:sz w:val="32"/>
          <w:szCs w:val="32"/>
        </w:rPr>
        <w:t>15</w:t>
      </w:r>
      <w:r>
        <w:rPr>
          <w:rFonts w:ascii="仿宋" w:hAnsi="仿宋" w:eastAsia="仿宋"/>
          <w:sz w:val="32"/>
          <w:szCs w:val="32"/>
        </w:rPr>
        <w:t>日</w:t>
      </w:r>
      <w:r>
        <w:rPr>
          <w:rFonts w:hint="eastAsia" w:ascii="仿宋" w:hAnsi="仿宋" w:eastAsia="仿宋"/>
          <w:sz w:val="32"/>
          <w:szCs w:val="32"/>
        </w:rPr>
        <w:t xml:space="preserve">         </w:t>
      </w:r>
    </w:p>
    <w:p w14:paraId="252C1078">
      <w:pPr>
        <w:ind w:firstLine="640" w:firstLineChars="200"/>
        <w:rPr>
          <w:rFonts w:hint="eastAsia" w:ascii="仿宋" w:hAnsi="仿宋" w:eastAsia="仿宋"/>
          <w:sz w:val="32"/>
          <w:szCs w:val="32"/>
        </w:rPr>
      </w:pPr>
      <w:r>
        <w:rPr>
          <w:rFonts w:hint="eastAsia" w:ascii="仿宋" w:hAnsi="仿宋" w:eastAsia="仿宋" w:cs="Times New Roman"/>
          <w:b w:val="0"/>
          <w:bCs w:val="0"/>
          <w:kern w:val="2"/>
          <w:sz w:val="32"/>
          <w:szCs w:val="32"/>
          <w:lang w:val="en-US" w:eastAsia="zh-CN" w:bidi="ar-SA"/>
        </w:rPr>
        <w:t>（此件主动公开）</w:t>
      </w:r>
    </w:p>
    <w:p w14:paraId="37DEA3F1">
      <w:pPr>
        <w:ind w:firstLine="640" w:firstLineChars="200"/>
        <w:rPr>
          <w:rFonts w:hint="eastAsia" w:ascii="仿宋" w:hAnsi="仿宋" w:eastAsia="仿宋"/>
          <w:sz w:val="32"/>
          <w:szCs w:val="32"/>
        </w:rPr>
      </w:pPr>
    </w:p>
    <w:p w14:paraId="243680EC">
      <w:pPr>
        <w:rPr>
          <w:rFonts w:hint="eastAsia" w:ascii="仿宋" w:hAnsi="仿宋" w:eastAsia="仿宋"/>
          <w:sz w:val="32"/>
          <w:szCs w:val="32"/>
        </w:rPr>
      </w:pPr>
    </w:p>
    <w:p w14:paraId="72F8114F">
      <w:pPr>
        <w:rPr>
          <w:rFonts w:hint="eastAsia" w:ascii="仿宋" w:hAnsi="仿宋" w:eastAsia="仿宋"/>
          <w:sz w:val="32"/>
          <w:szCs w:val="32"/>
        </w:rPr>
      </w:pPr>
    </w:p>
    <w:p w14:paraId="6F994A2B">
      <w:pPr>
        <w:rPr>
          <w:rFonts w:hint="eastAsia" w:ascii="仿宋" w:hAnsi="仿宋" w:eastAsia="仿宋"/>
          <w:sz w:val="32"/>
          <w:szCs w:val="32"/>
        </w:rPr>
      </w:pPr>
    </w:p>
    <w:p w14:paraId="66B8EA16">
      <w:pPr>
        <w:rPr>
          <w:rFonts w:hint="eastAsia" w:ascii="仿宋" w:hAnsi="仿宋" w:eastAsia="仿宋"/>
          <w:sz w:val="32"/>
          <w:szCs w:val="32"/>
        </w:rPr>
      </w:pPr>
    </w:p>
    <w:p w14:paraId="0358D877">
      <w:pPr>
        <w:rPr>
          <w:rFonts w:hint="eastAsia" w:ascii="仿宋" w:hAnsi="仿宋" w:eastAsia="仿宋"/>
          <w:sz w:val="32"/>
          <w:szCs w:val="32"/>
        </w:rPr>
      </w:pPr>
    </w:p>
    <w:p w14:paraId="4EBB523C">
      <w:pPr>
        <w:rPr>
          <w:rFonts w:hint="eastAsia" w:ascii="仿宋" w:hAnsi="仿宋" w:eastAsia="仿宋"/>
          <w:sz w:val="32"/>
          <w:szCs w:val="32"/>
        </w:rPr>
      </w:pPr>
    </w:p>
    <w:p w14:paraId="7C2ED97D">
      <w:pPr>
        <w:rPr>
          <w:rFonts w:hint="eastAsia" w:ascii="仿宋" w:hAnsi="仿宋" w:eastAsia="仿宋"/>
          <w:sz w:val="32"/>
          <w:szCs w:val="32"/>
        </w:rPr>
      </w:pPr>
    </w:p>
    <w:p w14:paraId="7248D2CD">
      <w:pPr>
        <w:suppressAutoHyphens/>
        <w:bidi w:val="0"/>
        <w:snapToGrid w:val="0"/>
        <w:spacing w:line="360" w:lineRule="auto"/>
        <w:jc w:val="both"/>
        <w:rPr>
          <w:rFonts w:hint="eastAsia" w:ascii="宋体" w:hAnsi="宋体" w:eastAsia="宋体" w:cs="方正小标宋简体"/>
          <w:b/>
          <w:sz w:val="44"/>
          <w:szCs w:val="44"/>
        </w:rPr>
      </w:pPr>
    </w:p>
    <w:p w14:paraId="4B6A1763">
      <w:pPr>
        <w:suppressAutoHyphens/>
        <w:bidi w:val="0"/>
        <w:snapToGrid w:val="0"/>
        <w:spacing w:line="360" w:lineRule="auto"/>
        <w:jc w:val="center"/>
        <w:rPr>
          <w:rFonts w:ascii="宋体" w:hAnsi="宋体" w:eastAsia="宋体" w:cs="方正小标宋简体"/>
          <w:b/>
          <w:sz w:val="44"/>
          <w:szCs w:val="44"/>
        </w:rPr>
      </w:pPr>
      <w:r>
        <w:rPr>
          <w:rFonts w:hint="eastAsia" w:ascii="宋体" w:hAnsi="宋体" w:eastAsia="宋体" w:cs="方正小标宋简体"/>
          <w:b/>
          <w:sz w:val="44"/>
          <w:szCs w:val="44"/>
        </w:rPr>
        <w:t>辽宁省装配式建筑示范城市管理办法</w:t>
      </w:r>
    </w:p>
    <w:p w14:paraId="1DE6008F">
      <w:pPr>
        <w:suppressAutoHyphens/>
        <w:bidi w:val="0"/>
        <w:snapToGrid w:val="0"/>
        <w:spacing w:line="360" w:lineRule="auto"/>
        <w:jc w:val="center"/>
        <w:rPr>
          <w:rFonts w:ascii="宋体" w:hAnsi="宋体" w:eastAsia="宋体" w:cs="方正小标宋简体"/>
          <w:b/>
          <w:sz w:val="32"/>
          <w:szCs w:val="32"/>
        </w:rPr>
      </w:pPr>
    </w:p>
    <w:p w14:paraId="3A03E9DB">
      <w:pPr>
        <w:suppressAutoHyphens/>
        <w:bidi w:val="0"/>
        <w:snapToGrid w:val="0"/>
        <w:spacing w:line="360" w:lineRule="auto"/>
        <w:jc w:val="center"/>
        <w:rPr>
          <w:rFonts w:ascii="宋体" w:hAnsi="宋体" w:eastAsia="宋体" w:cs="方正小标宋简体"/>
          <w:sz w:val="44"/>
          <w:szCs w:val="44"/>
        </w:rPr>
      </w:pPr>
      <w:r>
        <w:rPr>
          <w:rFonts w:hint="eastAsia" w:ascii="黑体" w:hAnsi="黑体" w:eastAsia="黑体" w:cs="黑体"/>
          <w:sz w:val="32"/>
          <w:szCs w:val="32"/>
        </w:rPr>
        <w:t>第一章　总　　则</w:t>
      </w:r>
    </w:p>
    <w:p w14:paraId="5ADBCCCA">
      <w:pPr>
        <w:suppressAutoHyphens/>
        <w:bidi w:val="0"/>
        <w:snapToGrid w:val="0"/>
        <w:spacing w:line="360" w:lineRule="auto"/>
        <w:ind w:firstLine="643" w:firstLineChars="200"/>
        <w:rPr>
          <w:rFonts w:ascii="仿宋" w:hAnsi="仿宋" w:eastAsia="仿宋" w:cs="Arial"/>
          <w:kern w:val="0"/>
          <w:sz w:val="32"/>
          <w:szCs w:val="32"/>
        </w:rPr>
      </w:pPr>
      <w:r>
        <w:rPr>
          <w:rFonts w:hint="eastAsia" w:ascii="仿宋" w:hAnsi="仿宋" w:eastAsia="仿宋" w:cs="Arial"/>
          <w:b/>
          <w:kern w:val="0"/>
          <w:sz w:val="32"/>
          <w:szCs w:val="32"/>
        </w:rPr>
        <w:t>第一条　</w:t>
      </w:r>
      <w:r>
        <w:rPr>
          <w:rFonts w:hint="eastAsia" w:ascii="仿宋" w:hAnsi="仿宋" w:eastAsia="仿宋" w:cs="Arial"/>
          <w:kern w:val="0"/>
          <w:sz w:val="32"/>
          <w:szCs w:val="32"/>
        </w:rPr>
        <w:t>为贯彻落实国家和省关于</w:t>
      </w:r>
      <w:r>
        <w:rPr>
          <w:rFonts w:hint="eastAsia" w:ascii="仿宋" w:hAnsi="仿宋" w:eastAsia="仿宋" w:cs="Arial"/>
          <w:sz w:val="32"/>
          <w:szCs w:val="32"/>
        </w:rPr>
        <w:t>发展新型建造方式，大力推广装配式建筑的要求，规范</w:t>
      </w:r>
      <w:r>
        <w:rPr>
          <w:rFonts w:hint="eastAsia" w:ascii="仿宋" w:hAnsi="仿宋" w:eastAsia="仿宋" w:cs="Arial"/>
          <w:kern w:val="0"/>
          <w:sz w:val="32"/>
          <w:szCs w:val="32"/>
        </w:rPr>
        <w:t>辽宁省装配式建筑示范城市管理，依据</w:t>
      </w:r>
      <w:r>
        <w:rPr>
          <w:rFonts w:hint="eastAsia" w:ascii="仿宋" w:hAnsi="仿宋" w:eastAsia="仿宋"/>
          <w:sz w:val="32"/>
          <w:szCs w:val="32"/>
        </w:rPr>
        <w:t>住房城乡建设部《装配式建筑示范城市管理办法》和</w:t>
      </w:r>
      <w:r>
        <w:rPr>
          <w:rFonts w:hint="eastAsia" w:ascii="仿宋" w:hAnsi="仿宋" w:eastAsia="仿宋" w:cs="Arial"/>
          <w:kern w:val="0"/>
          <w:sz w:val="32"/>
          <w:szCs w:val="32"/>
        </w:rPr>
        <w:t>有关规定，制定本办法。</w:t>
      </w:r>
    </w:p>
    <w:p w14:paraId="6EB36F07">
      <w:pPr>
        <w:suppressAutoHyphens/>
        <w:bidi w:val="0"/>
        <w:snapToGrid w:val="0"/>
        <w:spacing w:line="360" w:lineRule="auto"/>
        <w:ind w:firstLine="643" w:firstLineChars="200"/>
        <w:rPr>
          <w:rFonts w:ascii="仿宋" w:hAnsi="仿宋" w:eastAsia="仿宋"/>
          <w:sz w:val="32"/>
          <w:szCs w:val="32"/>
        </w:rPr>
      </w:pPr>
      <w:r>
        <w:rPr>
          <w:rFonts w:hint="eastAsia" w:ascii="仿宋" w:hAnsi="仿宋" w:eastAsia="仿宋" w:cs="Arial"/>
          <w:b/>
          <w:kern w:val="0"/>
          <w:sz w:val="32"/>
          <w:szCs w:val="32"/>
        </w:rPr>
        <w:t>第二条　</w:t>
      </w:r>
      <w:r>
        <w:rPr>
          <w:rFonts w:hint="eastAsia" w:ascii="仿宋" w:hAnsi="仿宋" w:eastAsia="仿宋" w:cs="Arial"/>
          <w:sz w:val="32"/>
          <w:szCs w:val="32"/>
        </w:rPr>
        <w:t>辽宁省装</w:t>
      </w:r>
      <w:r>
        <w:rPr>
          <w:rFonts w:hint="eastAsia" w:ascii="仿宋" w:hAnsi="仿宋" w:eastAsia="仿宋"/>
          <w:sz w:val="32"/>
          <w:szCs w:val="32"/>
        </w:rPr>
        <w:t>配式建筑示范城市（以下简称示范城市）是指在装配式建筑发展过程中，具有较好的产业基础，并在装配式建筑发展目标、支持政策、技术标准、项目实施、发展机制等方面能够发挥示范引领作用，并按照本管理办法认定的城市（含县、区）。</w:t>
      </w:r>
    </w:p>
    <w:p w14:paraId="712D2856">
      <w:pPr>
        <w:suppressAutoHyphens/>
        <w:bidi w:val="0"/>
        <w:snapToGrid w:val="0"/>
        <w:spacing w:line="360" w:lineRule="auto"/>
        <w:ind w:firstLine="643" w:firstLineChars="200"/>
        <w:rPr>
          <w:rFonts w:ascii="仿宋" w:hAnsi="仿宋" w:eastAsia="仿宋" w:cs="Arial"/>
          <w:kern w:val="0"/>
          <w:sz w:val="32"/>
          <w:szCs w:val="32"/>
        </w:rPr>
      </w:pPr>
      <w:r>
        <w:rPr>
          <w:rFonts w:hint="eastAsia" w:ascii="仿宋" w:hAnsi="仿宋" w:eastAsia="仿宋" w:cs="Arial"/>
          <w:b/>
          <w:kern w:val="0"/>
          <w:sz w:val="32"/>
          <w:szCs w:val="32"/>
        </w:rPr>
        <w:t>第三条</w:t>
      </w:r>
      <w:r>
        <w:rPr>
          <w:rFonts w:hint="eastAsia" w:ascii="仿宋" w:hAnsi="仿宋" w:eastAsia="仿宋"/>
          <w:sz w:val="32"/>
          <w:szCs w:val="32"/>
        </w:rPr>
        <w:t>　</w:t>
      </w:r>
      <w:r>
        <w:rPr>
          <w:rFonts w:hint="eastAsia" w:ascii="仿宋" w:hAnsi="仿宋" w:eastAsia="仿宋" w:cs="Arial"/>
          <w:kern w:val="0"/>
          <w:sz w:val="32"/>
          <w:szCs w:val="32"/>
        </w:rPr>
        <w:t>示范城市的申请、评审、认定、发布和监督管理，适用本办法。</w:t>
      </w:r>
    </w:p>
    <w:p w14:paraId="20853531">
      <w:pPr>
        <w:suppressAutoHyphens/>
        <w:bidi w:val="0"/>
        <w:snapToGrid w:val="0"/>
        <w:spacing w:line="360" w:lineRule="auto"/>
        <w:ind w:firstLine="643" w:firstLineChars="200"/>
        <w:rPr>
          <w:rFonts w:ascii="仿宋" w:hAnsi="仿宋" w:eastAsia="仿宋"/>
          <w:sz w:val="32"/>
          <w:szCs w:val="32"/>
        </w:rPr>
      </w:pPr>
      <w:r>
        <w:rPr>
          <w:rFonts w:hint="eastAsia" w:ascii="仿宋" w:hAnsi="仿宋" w:eastAsia="仿宋"/>
          <w:b/>
          <w:bCs/>
          <w:sz w:val="32"/>
          <w:szCs w:val="32"/>
        </w:rPr>
        <w:t>第四条</w:t>
      </w:r>
      <w:r>
        <w:rPr>
          <w:rFonts w:hint="eastAsia" w:ascii="仿宋" w:hAnsi="仿宋" w:eastAsia="仿宋"/>
          <w:sz w:val="32"/>
          <w:szCs w:val="32"/>
        </w:rPr>
        <w:t>　各地在制定实施相关优惠支持政策时，应向示范城市倾斜。</w:t>
      </w:r>
      <w:r>
        <w:rPr>
          <w:rFonts w:hint="eastAsia" w:ascii="仿宋" w:hAnsi="仿宋" w:eastAsia="仿宋"/>
          <w:bCs/>
          <w:sz w:val="32"/>
          <w:szCs w:val="32"/>
        </w:rPr>
        <w:t>省住房城乡建设厅认定的省级示范城市可优先被推荐参与国家级示范城市评选。</w:t>
      </w:r>
    </w:p>
    <w:p w14:paraId="5D165811">
      <w:pPr>
        <w:keepNext w:val="0"/>
        <w:keepLines w:val="0"/>
        <w:widowControl w:val="0"/>
        <w:snapToGrid w:val="0"/>
        <w:spacing w:before="0" w:after="0" w:line="360" w:lineRule="auto"/>
        <w:jc w:val="center"/>
        <w:outlineLvl w:val="0"/>
        <w:rPr>
          <w:rFonts w:ascii="黑体" w:hAnsi="黑体" w:eastAsia="黑体" w:cs="黑体"/>
          <w:b w:val="0"/>
          <w:bCs/>
          <w:kern w:val="44"/>
          <w:sz w:val="32"/>
          <w:szCs w:val="32"/>
          <w:lang w:val="en-US" w:eastAsia="zh-CN" w:bidi="ar-SA"/>
        </w:rPr>
      </w:pPr>
    </w:p>
    <w:p w14:paraId="28D23AB0">
      <w:pPr>
        <w:keepNext w:val="0"/>
        <w:keepLines w:val="0"/>
        <w:widowControl w:val="0"/>
        <w:snapToGrid w:val="0"/>
        <w:spacing w:before="0" w:after="0" w:line="360" w:lineRule="auto"/>
        <w:jc w:val="center"/>
        <w:outlineLvl w:val="0"/>
        <w:rPr>
          <w:rFonts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第二章　申　　请</w:t>
      </w:r>
    </w:p>
    <w:p w14:paraId="4D9DE2C0">
      <w:pPr>
        <w:widowControl w:val="0"/>
        <w:snapToGrid w:val="0"/>
        <w:spacing w:line="360" w:lineRule="auto"/>
        <w:ind w:firstLine="643" w:firstLineChars="200"/>
        <w:jc w:val="both"/>
        <w:rPr>
          <w:rFonts w:ascii="仿宋" w:hAnsi="仿宋" w:eastAsia="仿宋" w:cs="Times New Roman"/>
          <w:b/>
          <w:kern w:val="2"/>
          <w:sz w:val="32"/>
          <w:szCs w:val="32"/>
          <w:lang w:val="en-US" w:eastAsia="zh-CN" w:bidi="ar-SA"/>
        </w:rPr>
      </w:pPr>
      <w:r>
        <w:rPr>
          <w:rFonts w:hint="eastAsia" w:ascii="仿宋" w:hAnsi="仿宋" w:eastAsia="仿宋" w:cs="Times New Roman"/>
          <w:b/>
          <w:kern w:val="2"/>
          <w:sz w:val="32"/>
          <w:szCs w:val="32"/>
          <w:lang w:val="en-US" w:eastAsia="zh-CN" w:bidi="ar-SA"/>
        </w:rPr>
        <w:t>第五条　</w:t>
      </w:r>
      <w:r>
        <w:rPr>
          <w:rFonts w:hint="eastAsia" w:ascii="仿宋" w:hAnsi="仿宋" w:eastAsia="仿宋" w:cs="Times New Roman"/>
          <w:bCs/>
          <w:kern w:val="2"/>
          <w:sz w:val="32"/>
          <w:szCs w:val="32"/>
          <w:lang w:val="en-US" w:eastAsia="zh-CN" w:bidi="ar-SA"/>
        </w:rPr>
        <w:t>申请示范的</w:t>
      </w:r>
      <w:r>
        <w:rPr>
          <w:rFonts w:hint="eastAsia" w:ascii="仿宋_GB2312" w:hAnsi="仿宋_GB2312" w:eastAsia="仿宋_GB2312" w:cs="仿宋_GB2312"/>
          <w:bCs/>
          <w:kern w:val="2"/>
          <w:sz w:val="32"/>
          <w:szCs w:val="32"/>
          <w:lang w:val="en-US" w:eastAsia="zh-CN" w:bidi="ar-SA"/>
        </w:rPr>
        <w:t>市（县、区）</w:t>
      </w:r>
      <w:r>
        <w:rPr>
          <w:rFonts w:hint="eastAsia" w:ascii="仿宋" w:hAnsi="仿宋" w:eastAsia="仿宋" w:cs="Times New Roman"/>
          <w:bCs/>
          <w:kern w:val="2"/>
          <w:sz w:val="32"/>
          <w:szCs w:val="32"/>
          <w:lang w:val="en-US" w:eastAsia="zh-CN" w:bidi="ar-SA"/>
        </w:rPr>
        <w:t>应经</w:t>
      </w:r>
      <w:r>
        <w:rPr>
          <w:rFonts w:hint="eastAsia" w:ascii="仿宋_GB2312" w:hAnsi="仿宋_GB2312" w:eastAsia="仿宋_GB2312" w:cs="仿宋_GB2312"/>
          <w:bCs/>
          <w:kern w:val="2"/>
          <w:sz w:val="32"/>
          <w:szCs w:val="32"/>
          <w:lang w:val="en-US" w:eastAsia="zh-CN" w:bidi="ar-SA"/>
        </w:rPr>
        <w:t>设区市政府</w:t>
      </w:r>
      <w:r>
        <w:rPr>
          <w:rFonts w:hint="eastAsia" w:ascii="仿宋" w:hAnsi="仿宋" w:eastAsia="仿宋" w:cs="Times New Roman"/>
          <w:bCs/>
          <w:kern w:val="2"/>
          <w:sz w:val="32"/>
          <w:szCs w:val="32"/>
          <w:lang w:val="en-US" w:eastAsia="zh-CN" w:bidi="ar-SA"/>
        </w:rPr>
        <w:t>同意，向省住房城乡建设厅</w:t>
      </w:r>
      <w:r>
        <w:rPr>
          <w:rFonts w:hint="eastAsia" w:ascii="仿宋" w:hAnsi="仿宋" w:eastAsia="仿宋" w:cs="仿宋_GB2312"/>
          <w:kern w:val="0"/>
          <w:sz w:val="32"/>
          <w:szCs w:val="32"/>
          <w:lang w:val="en-US" w:eastAsia="zh-CN" w:bidi="ar-SA"/>
        </w:rPr>
        <w:t>提出申请。</w:t>
      </w:r>
    </w:p>
    <w:p w14:paraId="712C7F28">
      <w:pPr>
        <w:widowControl w:val="0"/>
        <w:snapToGrid w:val="0"/>
        <w:spacing w:line="360" w:lineRule="auto"/>
        <w:ind w:firstLine="643" w:firstLineChars="200"/>
        <w:jc w:val="both"/>
        <w:rPr>
          <w:rFonts w:ascii="仿宋" w:hAnsi="仿宋" w:eastAsia="仿宋" w:cs="Times New Roman"/>
          <w:kern w:val="2"/>
          <w:sz w:val="32"/>
          <w:szCs w:val="32"/>
          <w:lang w:val="en-US" w:eastAsia="zh-CN" w:bidi="ar-SA"/>
        </w:rPr>
      </w:pPr>
      <w:r>
        <w:rPr>
          <w:rFonts w:hint="eastAsia" w:ascii="仿宋" w:hAnsi="仿宋" w:eastAsia="仿宋" w:cs="Times New Roman"/>
          <w:b/>
          <w:kern w:val="2"/>
          <w:sz w:val="32"/>
          <w:szCs w:val="32"/>
          <w:lang w:val="en-US" w:eastAsia="zh-CN" w:bidi="ar-SA"/>
        </w:rPr>
        <w:t>第六条　</w:t>
      </w:r>
      <w:r>
        <w:rPr>
          <w:rFonts w:hint="eastAsia" w:ascii="仿宋" w:hAnsi="仿宋" w:eastAsia="仿宋" w:cs="Times New Roman"/>
          <w:bCs/>
          <w:kern w:val="2"/>
          <w:sz w:val="32"/>
          <w:szCs w:val="32"/>
          <w:lang w:val="en-US" w:eastAsia="zh-CN" w:bidi="ar-SA"/>
        </w:rPr>
        <w:t>申请</w:t>
      </w:r>
      <w:r>
        <w:rPr>
          <w:rFonts w:hint="eastAsia" w:ascii="仿宋" w:hAnsi="仿宋" w:eastAsia="仿宋" w:cs="Times New Roman"/>
          <w:kern w:val="2"/>
          <w:sz w:val="32"/>
          <w:szCs w:val="32"/>
          <w:lang w:val="en-US" w:eastAsia="zh-CN" w:bidi="ar-SA"/>
        </w:rPr>
        <w:t>示范的城市应符合下列条件：</w:t>
      </w:r>
    </w:p>
    <w:p w14:paraId="1E8253C2">
      <w:pPr>
        <w:suppressAutoHyphens/>
        <w:bidi w:val="0"/>
        <w:snapToGrid w:val="0"/>
        <w:spacing w:line="360" w:lineRule="auto"/>
        <w:ind w:firstLine="640" w:firstLineChars="200"/>
        <w:rPr>
          <w:rFonts w:ascii="仿宋" w:hAnsi="仿宋" w:eastAsia="仿宋"/>
          <w:sz w:val="32"/>
          <w:szCs w:val="32"/>
        </w:rPr>
      </w:pPr>
      <w:r>
        <w:rPr>
          <w:rFonts w:hint="eastAsia" w:ascii="仿宋" w:hAnsi="仿宋" w:eastAsia="仿宋" w:cs="仿宋_GB2312"/>
          <w:kern w:val="0"/>
          <w:sz w:val="32"/>
          <w:szCs w:val="32"/>
        </w:rPr>
        <w:t>1.具有较好的经济、建筑科技和市场发展等条件；</w:t>
      </w:r>
    </w:p>
    <w:p w14:paraId="139B91D5">
      <w:pPr>
        <w:suppressAutoHyphens/>
        <w:bidi w:val="0"/>
        <w:snapToGrid w:val="0"/>
        <w:spacing w:line="360" w:lineRule="auto"/>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2.具备装配式建筑发展基础，包括较好的产业基础、标准化水平和能力、一定数量的设计生产施工企业和装配式建筑工程项目等；</w:t>
      </w:r>
    </w:p>
    <w:p w14:paraId="6501AE57">
      <w:pPr>
        <w:suppressAutoHyphens/>
        <w:bidi w:val="0"/>
        <w:snapToGrid w:val="0"/>
        <w:spacing w:line="360" w:lineRule="auto"/>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3.制定了装配式建筑发展规划，有较高的发展目标和具体的任务；</w:t>
      </w:r>
    </w:p>
    <w:p w14:paraId="5BDD832B">
      <w:pPr>
        <w:suppressAutoHyphens/>
        <w:bidi w:val="0"/>
        <w:snapToGrid w:val="0"/>
        <w:spacing w:line="360" w:lineRule="auto"/>
        <w:ind w:firstLine="640" w:firstLineChars="200"/>
        <w:rPr>
          <w:rFonts w:ascii="仿宋" w:hAnsi="仿宋" w:eastAsia="仿宋" w:cs="仿宋_GB2312"/>
          <w:sz w:val="32"/>
          <w:szCs w:val="32"/>
        </w:rPr>
      </w:pPr>
      <w:r>
        <w:rPr>
          <w:rFonts w:hint="eastAsia" w:ascii="仿宋" w:hAnsi="仿宋" w:eastAsia="仿宋" w:cs="仿宋_GB2312"/>
          <w:kern w:val="0"/>
          <w:sz w:val="32"/>
          <w:szCs w:val="32"/>
        </w:rPr>
        <w:t>4.有明确的装配式建筑发展支持政策、专项管理机制和保障措施；</w:t>
      </w:r>
    </w:p>
    <w:p w14:paraId="210614C0">
      <w:pPr>
        <w:suppressAutoHyphens/>
        <w:bidi w:val="0"/>
        <w:snapToGrid w:val="0"/>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5.本地区装配式建筑工程项目两年内未发生较大及以上生产安全事故和各类质量事故；</w:t>
      </w:r>
    </w:p>
    <w:p w14:paraId="44760250">
      <w:pPr>
        <w:suppressAutoHyphens/>
        <w:bidi w:val="0"/>
        <w:snapToGrid w:val="0"/>
        <w:spacing w:line="360" w:lineRule="auto"/>
        <w:ind w:firstLine="640" w:firstLineChars="200"/>
        <w:rPr>
          <w:rFonts w:ascii="仿宋" w:hAnsi="仿宋" w:eastAsia="仿宋"/>
          <w:sz w:val="32"/>
          <w:szCs w:val="32"/>
        </w:rPr>
      </w:pPr>
      <w:r>
        <w:rPr>
          <w:rFonts w:hint="eastAsia" w:ascii="仿宋" w:hAnsi="仿宋" w:eastAsia="仿宋" w:cs="仿宋_GB2312"/>
          <w:sz w:val="32"/>
          <w:szCs w:val="32"/>
        </w:rPr>
        <w:t>6.</w:t>
      </w:r>
      <w:r>
        <w:rPr>
          <w:rFonts w:hint="eastAsia" w:ascii="仿宋" w:hAnsi="仿宋" w:eastAsia="仿宋"/>
          <w:sz w:val="32"/>
          <w:szCs w:val="32"/>
        </w:rPr>
        <w:t>其他应具备的条件。</w:t>
      </w:r>
    </w:p>
    <w:p w14:paraId="050D2221">
      <w:pPr>
        <w:widowControl w:val="0"/>
        <w:snapToGrid w:val="0"/>
        <w:spacing w:line="360" w:lineRule="auto"/>
        <w:ind w:firstLine="643" w:firstLineChars="200"/>
        <w:jc w:val="both"/>
        <w:rPr>
          <w:rFonts w:ascii="仿宋" w:hAnsi="仿宋" w:eastAsia="仿宋" w:cs="Times New Roman"/>
          <w:kern w:val="2"/>
          <w:sz w:val="32"/>
          <w:szCs w:val="32"/>
          <w:lang w:val="en-US" w:eastAsia="zh-CN" w:bidi="ar-SA"/>
        </w:rPr>
      </w:pPr>
      <w:r>
        <w:rPr>
          <w:rFonts w:hint="eastAsia" w:ascii="仿宋" w:hAnsi="仿宋" w:eastAsia="仿宋" w:cs="Times New Roman"/>
          <w:b/>
          <w:kern w:val="2"/>
          <w:sz w:val="32"/>
          <w:szCs w:val="32"/>
          <w:lang w:val="en-US" w:eastAsia="zh-CN" w:bidi="ar-SA"/>
        </w:rPr>
        <w:t>第七条　</w:t>
      </w:r>
      <w:r>
        <w:rPr>
          <w:rFonts w:hint="eastAsia" w:ascii="仿宋" w:hAnsi="仿宋" w:eastAsia="仿宋" w:cs="Times New Roman"/>
          <w:kern w:val="2"/>
          <w:sz w:val="32"/>
          <w:szCs w:val="32"/>
          <w:lang w:val="en-US" w:eastAsia="zh-CN" w:bidi="ar-SA"/>
        </w:rPr>
        <w:t>申请示范的城市需提供以下材料：</w:t>
      </w:r>
    </w:p>
    <w:p w14:paraId="6FF20E50">
      <w:pPr>
        <w:widowControl w:val="0"/>
        <w:snapToGrid w:val="0"/>
        <w:spacing w:line="360" w:lineRule="auto"/>
        <w:ind w:firstLine="640" w:firstLineChars="200"/>
        <w:jc w:val="both"/>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w:t>
      </w:r>
      <w:r>
        <w:rPr>
          <w:rFonts w:hint="eastAsia" w:ascii="Calibri" w:hAnsi="Calibri" w:eastAsia="宋体" w:cs="Times New Roman"/>
          <w:kern w:val="2"/>
          <w:sz w:val="21"/>
          <w:szCs w:val="22"/>
          <w:lang w:val="en-US" w:eastAsia="zh-CN" w:bidi="ar-SA"/>
        </w:rPr>
        <w:t xml:space="preserve"> </w:t>
      </w:r>
      <w:r>
        <w:rPr>
          <w:rFonts w:hint="eastAsia" w:ascii="仿宋" w:hAnsi="仿宋" w:eastAsia="仿宋" w:cs="仿宋"/>
          <w:kern w:val="2"/>
          <w:sz w:val="32"/>
          <w:szCs w:val="32"/>
          <w:lang w:val="en-US" w:eastAsia="zh-CN" w:bidi="ar-SA"/>
        </w:rPr>
        <w:t>辽宁省装配式建筑示范城市申请表(附件1)；</w:t>
      </w:r>
    </w:p>
    <w:p w14:paraId="710E5446">
      <w:pPr>
        <w:widowControl w:val="0"/>
        <w:snapToGrid w:val="0"/>
        <w:spacing w:line="360" w:lineRule="auto"/>
        <w:ind w:firstLine="640" w:firstLineChars="200"/>
        <w:jc w:val="both"/>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2.辽宁省装配式建筑示范城市实施方案（以下简称实施方案）(附件2)；</w:t>
      </w:r>
    </w:p>
    <w:p w14:paraId="56369ACB">
      <w:pPr>
        <w:widowControl w:val="0"/>
        <w:snapToGrid w:val="0"/>
        <w:spacing w:line="360" w:lineRule="auto"/>
        <w:ind w:firstLine="640" w:firstLineChars="200"/>
        <w:jc w:val="both"/>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3.已出台的装配式建筑发展规划及相关政策文件；</w:t>
      </w:r>
    </w:p>
    <w:p w14:paraId="2B8569BC">
      <w:pPr>
        <w:widowControl w:val="0"/>
        <w:snapToGrid w:val="0"/>
        <w:spacing w:line="360" w:lineRule="auto"/>
        <w:ind w:firstLine="640" w:firstLineChars="200"/>
        <w:jc w:val="both"/>
        <w:rPr>
          <w:rFonts w:ascii="仿宋" w:hAnsi="仿宋" w:eastAsia="仿宋" w:cs="Times New Roman"/>
          <w:kern w:val="2"/>
          <w:sz w:val="32"/>
          <w:szCs w:val="32"/>
          <w:lang w:val="en-US" w:eastAsia="zh-CN" w:bidi="ar-SA"/>
        </w:rPr>
      </w:pPr>
      <w:r>
        <w:rPr>
          <w:rFonts w:hint="eastAsia" w:ascii="仿宋" w:hAnsi="仿宋" w:eastAsia="仿宋" w:cs="仿宋"/>
          <w:kern w:val="2"/>
          <w:sz w:val="32"/>
          <w:szCs w:val="32"/>
          <w:lang w:val="en-US" w:eastAsia="zh-CN" w:bidi="ar-SA"/>
        </w:rPr>
        <w:t>4.</w:t>
      </w:r>
      <w:r>
        <w:rPr>
          <w:rFonts w:hint="eastAsia" w:ascii="仿宋" w:hAnsi="仿宋" w:eastAsia="仿宋" w:cs="Times New Roman"/>
          <w:kern w:val="2"/>
          <w:sz w:val="32"/>
          <w:szCs w:val="32"/>
          <w:lang w:val="en-US" w:eastAsia="zh-CN" w:bidi="ar-SA"/>
        </w:rPr>
        <w:t>其他应提供的材料。</w:t>
      </w:r>
    </w:p>
    <w:p w14:paraId="4C0EC0F5">
      <w:pPr>
        <w:keepNext w:val="0"/>
        <w:keepLines w:val="0"/>
        <w:widowControl w:val="0"/>
        <w:snapToGrid w:val="0"/>
        <w:spacing w:before="0" w:after="0" w:line="360" w:lineRule="auto"/>
        <w:jc w:val="center"/>
        <w:outlineLvl w:val="0"/>
        <w:rPr>
          <w:rFonts w:ascii="黑体" w:hAnsi="黑体" w:eastAsia="黑体" w:cs="黑体"/>
          <w:b w:val="0"/>
          <w:bCs/>
          <w:kern w:val="44"/>
          <w:sz w:val="32"/>
          <w:szCs w:val="32"/>
          <w:lang w:val="en-US" w:eastAsia="zh-CN" w:bidi="ar-SA"/>
        </w:rPr>
      </w:pPr>
    </w:p>
    <w:p w14:paraId="0FDD7D9F">
      <w:pPr>
        <w:keepNext w:val="0"/>
        <w:keepLines w:val="0"/>
        <w:widowControl w:val="0"/>
        <w:snapToGrid w:val="0"/>
        <w:spacing w:before="0" w:after="0" w:line="360" w:lineRule="auto"/>
        <w:jc w:val="center"/>
        <w:outlineLvl w:val="0"/>
        <w:rPr>
          <w:rFonts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第三章　评审和认定</w:t>
      </w:r>
    </w:p>
    <w:p w14:paraId="63EAEAFD">
      <w:pPr>
        <w:suppressAutoHyphens/>
        <w:bidi w:val="0"/>
        <w:snapToGrid w:val="0"/>
        <w:spacing w:line="360" w:lineRule="auto"/>
        <w:ind w:firstLine="643" w:firstLineChars="200"/>
        <w:rPr>
          <w:rFonts w:ascii="仿宋" w:hAnsi="仿宋" w:eastAsia="仿宋" w:cs="仿宋"/>
          <w:kern w:val="0"/>
          <w:sz w:val="32"/>
          <w:szCs w:val="32"/>
        </w:rPr>
      </w:pPr>
      <w:r>
        <w:rPr>
          <w:rFonts w:hint="eastAsia" w:ascii="仿宋" w:hAnsi="仿宋" w:eastAsia="仿宋"/>
          <w:b/>
          <w:sz w:val="32"/>
          <w:szCs w:val="32"/>
        </w:rPr>
        <w:t>第八条　</w:t>
      </w:r>
      <w:r>
        <w:rPr>
          <w:rFonts w:hint="eastAsia" w:ascii="仿宋_GB2312" w:hAnsi="仿宋_GB2312" w:eastAsia="仿宋_GB2312" w:cs="仿宋_GB2312"/>
          <w:bCs/>
          <w:sz w:val="32"/>
          <w:szCs w:val="32"/>
        </w:rPr>
        <w:t>设区市</w:t>
      </w:r>
      <w:r>
        <w:rPr>
          <w:rFonts w:hint="eastAsia" w:ascii="仿宋" w:hAnsi="仿宋" w:eastAsia="仿宋"/>
          <w:bCs/>
          <w:sz w:val="32"/>
          <w:szCs w:val="32"/>
        </w:rPr>
        <w:t>政府负责对示范城市申请情况进行核实和初审,符合条件的报省住房城乡建设厅。省住房城乡建设厅根据各地装配式建筑发展情况定期开展示范城市认定。</w:t>
      </w:r>
    </w:p>
    <w:p w14:paraId="42EA81AC">
      <w:pPr>
        <w:suppressAutoHyphens/>
        <w:bidi w:val="0"/>
        <w:snapToGrid w:val="0"/>
        <w:spacing w:line="360" w:lineRule="auto"/>
        <w:ind w:firstLine="643" w:firstLineChars="200"/>
        <w:rPr>
          <w:rFonts w:ascii="仿宋" w:hAnsi="仿宋" w:eastAsia="仿宋" w:cs="仿宋_GB2312"/>
          <w:kern w:val="0"/>
          <w:sz w:val="32"/>
          <w:szCs w:val="32"/>
        </w:rPr>
      </w:pPr>
      <w:r>
        <w:rPr>
          <w:rFonts w:hint="eastAsia" w:ascii="仿宋" w:hAnsi="仿宋" w:eastAsia="仿宋"/>
          <w:b/>
          <w:sz w:val="32"/>
          <w:szCs w:val="32"/>
        </w:rPr>
        <w:t>第九条　</w:t>
      </w:r>
      <w:r>
        <w:rPr>
          <w:rFonts w:hint="eastAsia" w:ascii="仿宋" w:hAnsi="仿宋" w:eastAsia="仿宋"/>
          <w:bCs/>
          <w:sz w:val="32"/>
          <w:szCs w:val="32"/>
        </w:rPr>
        <w:t>省住房城乡建设厅</w:t>
      </w:r>
      <w:r>
        <w:rPr>
          <w:rFonts w:hint="eastAsia" w:ascii="仿宋" w:hAnsi="仿宋" w:eastAsia="仿宋" w:cs="仿宋_GB2312"/>
          <w:kern w:val="0"/>
          <w:sz w:val="32"/>
          <w:szCs w:val="32"/>
        </w:rPr>
        <w:t>组织专家评审委员会，对申请示范的城市进行评审。</w:t>
      </w:r>
    </w:p>
    <w:p w14:paraId="68B27DB3">
      <w:pPr>
        <w:suppressAutoHyphens/>
        <w:bidi w:val="0"/>
        <w:snapToGrid w:val="0"/>
        <w:spacing w:line="360" w:lineRule="auto"/>
        <w:ind w:firstLine="643" w:firstLineChars="200"/>
        <w:rPr>
          <w:rFonts w:ascii="仿宋" w:hAnsi="仿宋" w:eastAsia="仿宋" w:cs="仿宋_GB2312"/>
          <w:kern w:val="0"/>
          <w:sz w:val="32"/>
          <w:szCs w:val="32"/>
        </w:rPr>
      </w:pPr>
      <w:r>
        <w:rPr>
          <w:rFonts w:hint="eastAsia" w:ascii="仿宋" w:hAnsi="仿宋" w:eastAsia="仿宋"/>
          <w:b/>
          <w:sz w:val="32"/>
          <w:szCs w:val="32"/>
        </w:rPr>
        <w:t>第十条　</w:t>
      </w:r>
      <w:r>
        <w:rPr>
          <w:rFonts w:hint="eastAsia" w:ascii="仿宋" w:hAnsi="仿宋" w:eastAsia="仿宋" w:cs="仿宋_GB2312"/>
          <w:kern w:val="0"/>
          <w:sz w:val="32"/>
          <w:szCs w:val="32"/>
        </w:rPr>
        <w:t>评审专家委员会一般由5-7名专家组成，专家委员会设主任委员1人，副主任委员1人，由主任委员主持评审工作。专家委员会应客观、公正，遵循回避原则，并对评审结果负责。</w:t>
      </w:r>
    </w:p>
    <w:p w14:paraId="3081762A">
      <w:pPr>
        <w:suppressAutoHyphens/>
        <w:bidi w:val="0"/>
        <w:snapToGrid w:val="0"/>
        <w:spacing w:line="360" w:lineRule="auto"/>
        <w:ind w:firstLine="643" w:firstLineChars="200"/>
        <w:rPr>
          <w:rFonts w:ascii="仿宋" w:hAnsi="仿宋" w:eastAsia="仿宋" w:cs="仿宋_GB2312"/>
          <w:kern w:val="0"/>
          <w:sz w:val="32"/>
          <w:szCs w:val="32"/>
        </w:rPr>
      </w:pPr>
      <w:r>
        <w:rPr>
          <w:rFonts w:hint="eastAsia" w:ascii="仿宋" w:hAnsi="仿宋" w:eastAsia="仿宋"/>
          <w:b/>
          <w:sz w:val="32"/>
          <w:szCs w:val="32"/>
        </w:rPr>
        <w:t>第十一条　</w:t>
      </w:r>
      <w:r>
        <w:rPr>
          <w:rFonts w:hint="eastAsia" w:ascii="仿宋" w:hAnsi="仿宋" w:eastAsia="仿宋" w:cs="仿宋_GB2312"/>
          <w:kern w:val="0"/>
          <w:sz w:val="32"/>
          <w:szCs w:val="32"/>
        </w:rPr>
        <w:t>评审内容主要包括：</w:t>
      </w:r>
    </w:p>
    <w:p w14:paraId="7AA248E5">
      <w:pPr>
        <w:suppressAutoHyphens/>
        <w:bidi w:val="0"/>
        <w:snapToGrid w:val="0"/>
        <w:spacing w:line="360" w:lineRule="auto"/>
        <w:ind w:firstLine="640" w:firstLineChars="200"/>
        <w:rPr>
          <w:rFonts w:ascii="仿宋" w:hAnsi="仿宋" w:eastAsia="仿宋"/>
          <w:sz w:val="32"/>
          <w:szCs w:val="32"/>
        </w:rPr>
      </w:pPr>
      <w:r>
        <w:rPr>
          <w:rFonts w:hint="eastAsia" w:ascii="仿宋" w:hAnsi="仿宋" w:eastAsia="仿宋" w:cs="仿宋_GB2312"/>
          <w:kern w:val="0"/>
          <w:sz w:val="32"/>
          <w:szCs w:val="32"/>
        </w:rPr>
        <w:t>1.当地的经济、建筑科技和市场发展等基础条件；</w:t>
      </w:r>
    </w:p>
    <w:p w14:paraId="512637E9">
      <w:pPr>
        <w:suppressAutoHyphens/>
        <w:bidi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2.装配式建筑发展的现状：政策出台情况、产业发展情况、标准化水平和能力、龙头企业情况、项目实施情况、组织机构和工作机制等；</w:t>
      </w:r>
    </w:p>
    <w:p w14:paraId="5163F5FB">
      <w:pPr>
        <w:suppressAutoHyphens/>
        <w:bidi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3.装配式建筑的发展规划、目标和任务；</w:t>
      </w:r>
    </w:p>
    <w:p w14:paraId="771DC161">
      <w:pPr>
        <w:suppressAutoHyphens/>
        <w:bidi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4.实施方案和下一步将要出台的支持政策和措施等。</w:t>
      </w:r>
    </w:p>
    <w:p w14:paraId="3CB095BF">
      <w:pPr>
        <w:suppressAutoHyphens/>
        <w:bidi w:val="0"/>
        <w:snapToGrid w:val="0"/>
        <w:spacing w:line="360" w:lineRule="auto"/>
        <w:ind w:firstLine="643" w:firstLineChars="200"/>
        <w:rPr>
          <w:rFonts w:ascii="仿宋" w:hAnsi="仿宋" w:eastAsia="仿宋" w:cs="仿宋_GB2312"/>
          <w:bCs/>
          <w:kern w:val="0"/>
          <w:sz w:val="32"/>
          <w:szCs w:val="32"/>
        </w:rPr>
      </w:pPr>
      <w:r>
        <w:rPr>
          <w:rFonts w:hint="eastAsia" w:ascii="仿宋" w:hAnsi="仿宋" w:eastAsia="仿宋"/>
          <w:b/>
          <w:sz w:val="32"/>
          <w:szCs w:val="32"/>
        </w:rPr>
        <w:t>第十二条　</w:t>
      </w:r>
      <w:bookmarkStart w:id="1" w:name="OLE_LINK2"/>
      <w:r>
        <w:rPr>
          <w:rFonts w:hint="eastAsia" w:ascii="仿宋" w:hAnsi="仿宋" w:eastAsia="仿宋" w:cs="仿宋_GB2312"/>
          <w:bCs/>
          <w:kern w:val="0"/>
          <w:sz w:val="32"/>
          <w:szCs w:val="32"/>
        </w:rPr>
        <w:t>经专家委员会评审后后，对符合要求的，省住房城乡建设厅认定后公布示范城市名单。对不符合要求的城市不予认定。</w:t>
      </w:r>
      <w:bookmarkEnd w:id="1"/>
    </w:p>
    <w:p w14:paraId="688599B6">
      <w:pPr>
        <w:suppressAutoHyphens/>
        <w:bidi w:val="0"/>
        <w:snapToGrid w:val="0"/>
        <w:spacing w:line="360" w:lineRule="auto"/>
        <w:jc w:val="center"/>
        <w:rPr>
          <w:rFonts w:ascii="黑体" w:hAnsi="黑体" w:eastAsia="黑体" w:cs="黑体"/>
          <w:bCs/>
          <w:sz w:val="32"/>
          <w:szCs w:val="32"/>
        </w:rPr>
      </w:pPr>
    </w:p>
    <w:p w14:paraId="4873DE85">
      <w:pPr>
        <w:suppressAutoHyphens/>
        <w:bidi w:val="0"/>
        <w:snapToGrid w:val="0"/>
        <w:spacing w:line="360" w:lineRule="auto"/>
        <w:jc w:val="center"/>
        <w:rPr>
          <w:rFonts w:ascii="黑体" w:hAnsi="黑体" w:eastAsia="黑体" w:cs="黑体"/>
          <w:bCs/>
          <w:sz w:val="32"/>
          <w:szCs w:val="32"/>
        </w:rPr>
      </w:pPr>
      <w:r>
        <w:rPr>
          <w:rFonts w:hint="eastAsia" w:ascii="黑体" w:hAnsi="黑体" w:eastAsia="黑体" w:cs="黑体"/>
          <w:bCs/>
          <w:sz w:val="32"/>
          <w:szCs w:val="32"/>
        </w:rPr>
        <w:t>第四章　管理与监督</w:t>
      </w:r>
    </w:p>
    <w:p w14:paraId="7F3B087F">
      <w:pPr>
        <w:suppressAutoHyphens/>
        <w:bidi w:val="0"/>
        <w:snapToGrid w:val="0"/>
        <w:spacing w:line="360" w:lineRule="auto"/>
        <w:ind w:firstLine="643" w:firstLineChars="200"/>
        <w:rPr>
          <w:rFonts w:ascii="仿宋" w:hAnsi="仿宋" w:eastAsia="仿宋" w:cs="仿宋_GB2312"/>
          <w:kern w:val="0"/>
          <w:sz w:val="32"/>
          <w:szCs w:val="32"/>
        </w:rPr>
      </w:pPr>
      <w:r>
        <w:rPr>
          <w:rFonts w:hint="eastAsia" w:ascii="仿宋" w:hAnsi="仿宋" w:eastAsia="仿宋" w:cs="仿宋_GB2312"/>
          <w:b/>
          <w:kern w:val="0"/>
          <w:sz w:val="32"/>
          <w:szCs w:val="32"/>
        </w:rPr>
        <w:t>第十</w:t>
      </w:r>
      <w:r>
        <w:rPr>
          <w:rFonts w:hint="eastAsia" w:ascii="仿宋" w:hAnsi="仿宋" w:eastAsia="仿宋" w:cs="Arial"/>
          <w:b/>
          <w:kern w:val="0"/>
          <w:sz w:val="32"/>
          <w:szCs w:val="32"/>
        </w:rPr>
        <w:t>三</w:t>
      </w:r>
      <w:r>
        <w:rPr>
          <w:rFonts w:hint="eastAsia" w:ascii="仿宋" w:hAnsi="仿宋" w:eastAsia="仿宋" w:cs="仿宋_GB2312"/>
          <w:b/>
          <w:kern w:val="0"/>
          <w:sz w:val="32"/>
          <w:szCs w:val="32"/>
        </w:rPr>
        <w:t>条　</w:t>
      </w:r>
      <w:r>
        <w:rPr>
          <w:rFonts w:hint="eastAsia" w:ascii="仿宋" w:hAnsi="仿宋" w:eastAsia="仿宋" w:cs="仿宋_GB2312"/>
          <w:kern w:val="0"/>
          <w:sz w:val="32"/>
          <w:szCs w:val="32"/>
        </w:rPr>
        <w:t>示范城市应按照实施方案组织实施，及时总结经验，向省住房城乡建设厅提供年度报告并接受检查。</w:t>
      </w:r>
    </w:p>
    <w:p w14:paraId="41D54CAD">
      <w:pPr>
        <w:suppressAutoHyphens/>
        <w:bidi w:val="0"/>
        <w:snapToGrid w:val="0"/>
        <w:spacing w:line="360" w:lineRule="auto"/>
        <w:ind w:firstLine="643" w:firstLineChars="200"/>
        <w:rPr>
          <w:rFonts w:ascii="仿宋" w:hAnsi="仿宋" w:eastAsia="仿宋" w:cs="仿宋_GB2312"/>
          <w:kern w:val="0"/>
          <w:sz w:val="32"/>
          <w:szCs w:val="32"/>
        </w:rPr>
      </w:pPr>
      <w:r>
        <w:rPr>
          <w:rFonts w:hint="eastAsia" w:ascii="仿宋" w:hAnsi="仿宋" w:eastAsia="仿宋" w:cs="Arial"/>
          <w:b/>
          <w:kern w:val="0"/>
          <w:sz w:val="32"/>
          <w:szCs w:val="32"/>
        </w:rPr>
        <w:t>第十</w:t>
      </w:r>
      <w:r>
        <w:rPr>
          <w:rFonts w:hint="eastAsia" w:ascii="仿宋" w:hAnsi="仿宋" w:eastAsia="仿宋" w:cs="仿宋_GB2312"/>
          <w:b/>
          <w:kern w:val="0"/>
          <w:sz w:val="32"/>
          <w:szCs w:val="32"/>
        </w:rPr>
        <w:t>四</w:t>
      </w:r>
      <w:r>
        <w:rPr>
          <w:rFonts w:hint="eastAsia" w:ascii="仿宋" w:hAnsi="仿宋" w:eastAsia="仿宋" w:cs="Arial"/>
          <w:b/>
          <w:kern w:val="0"/>
          <w:sz w:val="32"/>
          <w:szCs w:val="32"/>
        </w:rPr>
        <w:t>条　</w:t>
      </w:r>
      <w:r>
        <w:rPr>
          <w:rFonts w:hint="eastAsia" w:ascii="仿宋" w:hAnsi="仿宋" w:eastAsia="仿宋" w:cs="仿宋_GB2312"/>
          <w:kern w:val="0"/>
          <w:sz w:val="32"/>
          <w:szCs w:val="32"/>
        </w:rPr>
        <w:t>示范城市应加强经验交流与宣传推广，积极配合其他城市参观学习，发挥示范引领作用。</w:t>
      </w:r>
    </w:p>
    <w:p w14:paraId="3F924F29">
      <w:pPr>
        <w:suppressAutoHyphens/>
        <w:bidi w:val="0"/>
        <w:snapToGrid w:val="0"/>
        <w:spacing w:line="360" w:lineRule="auto"/>
        <w:ind w:firstLine="643" w:firstLineChars="200"/>
        <w:rPr>
          <w:rFonts w:ascii="仿宋" w:hAnsi="仿宋" w:eastAsia="仿宋" w:cs="仿宋_GB2312"/>
          <w:kern w:val="0"/>
          <w:sz w:val="32"/>
          <w:szCs w:val="32"/>
        </w:rPr>
      </w:pPr>
      <w:r>
        <w:rPr>
          <w:rFonts w:hint="eastAsia" w:ascii="仿宋" w:hAnsi="仿宋" w:eastAsia="仿宋" w:cs="仿宋_GB2312"/>
          <w:b/>
          <w:kern w:val="0"/>
          <w:sz w:val="32"/>
          <w:szCs w:val="32"/>
        </w:rPr>
        <w:t>第十五条</w:t>
      </w:r>
      <w:r>
        <w:rPr>
          <w:rFonts w:hint="eastAsia" w:ascii="仿宋" w:hAnsi="仿宋" w:eastAsia="仿宋" w:cs="仿宋_GB2312"/>
          <w:kern w:val="0"/>
          <w:sz w:val="32"/>
          <w:szCs w:val="32"/>
        </w:rPr>
        <w:t>　</w:t>
      </w:r>
      <w:r>
        <w:rPr>
          <w:rFonts w:hint="eastAsia" w:ascii="仿宋_GB2312" w:hAnsi="仿宋" w:eastAsia="仿宋_GB2312" w:cs="仿宋_GB2312"/>
          <w:kern w:val="0"/>
          <w:sz w:val="32"/>
          <w:szCs w:val="32"/>
        </w:rPr>
        <w:t>设区市住房城乡建设主管部门负责本市示范城市具体实施工作和所属示范市（县、区）的监督管理工作。</w:t>
      </w:r>
    </w:p>
    <w:p w14:paraId="1382FBAC">
      <w:pPr>
        <w:suppressAutoHyphens/>
        <w:bidi w:val="0"/>
        <w:snapToGrid w:val="0"/>
        <w:spacing w:line="360" w:lineRule="auto"/>
        <w:ind w:firstLine="643" w:firstLineChars="200"/>
        <w:rPr>
          <w:rFonts w:ascii="仿宋" w:hAnsi="仿宋" w:eastAsia="仿宋"/>
          <w:sz w:val="21"/>
          <w:szCs w:val="22"/>
        </w:rPr>
      </w:pPr>
      <w:r>
        <w:rPr>
          <w:rFonts w:hint="eastAsia" w:ascii="仿宋" w:hAnsi="仿宋" w:eastAsia="仿宋" w:cs="仿宋_GB2312"/>
          <w:b/>
          <w:kern w:val="0"/>
          <w:sz w:val="32"/>
          <w:szCs w:val="32"/>
        </w:rPr>
        <w:t>第十</w:t>
      </w:r>
      <w:r>
        <w:rPr>
          <w:rFonts w:hint="eastAsia" w:ascii="仿宋" w:hAnsi="仿宋" w:eastAsia="仿宋" w:cs="Arial"/>
          <w:b/>
          <w:kern w:val="0"/>
          <w:sz w:val="32"/>
          <w:szCs w:val="32"/>
        </w:rPr>
        <w:t>六</w:t>
      </w:r>
      <w:r>
        <w:rPr>
          <w:rFonts w:hint="eastAsia" w:ascii="仿宋" w:hAnsi="仿宋" w:eastAsia="仿宋" w:cs="仿宋_GB2312"/>
          <w:b/>
          <w:kern w:val="0"/>
          <w:sz w:val="32"/>
          <w:szCs w:val="32"/>
        </w:rPr>
        <w:t>条　</w:t>
      </w:r>
      <w:r>
        <w:rPr>
          <w:rFonts w:hint="eastAsia" w:ascii="仿宋" w:hAnsi="仿宋" w:eastAsia="仿宋" w:cs="仿宋_GB2312"/>
          <w:kern w:val="0"/>
          <w:sz w:val="32"/>
          <w:szCs w:val="32"/>
        </w:rPr>
        <w:t>省住房城乡建设厅定期对示范城市的工作目标、主要任务和政策措施落实执行情况进行检查，通报检查结果。</w:t>
      </w:r>
      <w:r>
        <w:rPr>
          <w:rFonts w:hint="eastAsia" w:ascii="仿宋" w:hAnsi="仿宋" w:eastAsia="仿宋" w:cs="Arial"/>
          <w:kern w:val="0"/>
          <w:sz w:val="32"/>
          <w:szCs w:val="32"/>
        </w:rPr>
        <w:t>示范城市未能按照实施方案制定的工作目标组织实施的，</w:t>
      </w:r>
      <w:r>
        <w:rPr>
          <w:rFonts w:hint="eastAsia" w:ascii="仿宋" w:hAnsi="仿宋" w:eastAsia="仿宋" w:cs="仿宋_GB2312"/>
          <w:kern w:val="0"/>
          <w:sz w:val="32"/>
          <w:szCs w:val="32"/>
        </w:rPr>
        <w:t>省住房城乡建设厅向市</w:t>
      </w:r>
      <w:r>
        <w:rPr>
          <w:rFonts w:hint="eastAsia" w:ascii="仿宋" w:hAnsi="仿宋" w:eastAsia="仿宋" w:cs="Arial"/>
          <w:kern w:val="0"/>
          <w:sz w:val="32"/>
          <w:szCs w:val="32"/>
        </w:rPr>
        <w:t>级住房城乡建设管理部门提出处理意见，责令限期改正。省住房城乡建设厅根据检查及整改情况进行评估，评估合格的继续认定为示范城市，评估不合格的城市由</w:t>
      </w:r>
      <w:r>
        <w:rPr>
          <w:rFonts w:hint="eastAsia" w:ascii="仿宋" w:hAnsi="仿宋" w:eastAsia="仿宋" w:cs="仿宋_GB2312"/>
          <w:kern w:val="0"/>
          <w:sz w:val="32"/>
          <w:szCs w:val="32"/>
        </w:rPr>
        <w:t>省住房城乡建设厅</w:t>
      </w:r>
      <w:r>
        <w:rPr>
          <w:rFonts w:hint="eastAsia" w:ascii="仿宋" w:hAnsi="仿宋" w:eastAsia="仿宋" w:cs="Arial"/>
          <w:kern w:val="0"/>
          <w:sz w:val="32"/>
          <w:szCs w:val="32"/>
        </w:rPr>
        <w:t>撤销其示范城市认定</w:t>
      </w:r>
      <w:r>
        <w:rPr>
          <w:rFonts w:hint="eastAsia" w:ascii="仿宋" w:hAnsi="仿宋" w:eastAsia="仿宋" w:cs="仿宋_GB2312"/>
          <w:kern w:val="0"/>
          <w:sz w:val="32"/>
          <w:szCs w:val="32"/>
        </w:rPr>
        <w:t>。</w:t>
      </w:r>
    </w:p>
    <w:p w14:paraId="177BE44C">
      <w:pPr>
        <w:keepNext w:val="0"/>
        <w:keepLines w:val="0"/>
        <w:widowControl w:val="0"/>
        <w:snapToGrid w:val="0"/>
        <w:spacing w:before="0" w:after="0" w:line="360" w:lineRule="auto"/>
        <w:jc w:val="center"/>
        <w:outlineLvl w:val="0"/>
        <w:rPr>
          <w:rFonts w:ascii="黑体" w:hAnsi="黑体" w:eastAsia="黑体" w:cs="黑体"/>
          <w:b w:val="0"/>
          <w:bCs/>
          <w:kern w:val="44"/>
          <w:sz w:val="32"/>
          <w:szCs w:val="32"/>
          <w:lang w:val="en-US" w:eastAsia="zh-CN" w:bidi="ar-SA"/>
        </w:rPr>
      </w:pPr>
    </w:p>
    <w:p w14:paraId="212ACA5C">
      <w:pPr>
        <w:keepNext w:val="0"/>
        <w:keepLines w:val="0"/>
        <w:widowControl w:val="0"/>
        <w:snapToGrid w:val="0"/>
        <w:spacing w:before="0" w:after="0" w:line="360" w:lineRule="auto"/>
        <w:jc w:val="center"/>
        <w:outlineLvl w:val="0"/>
        <w:rPr>
          <w:rFonts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第五章　附　则</w:t>
      </w:r>
    </w:p>
    <w:p w14:paraId="66217DCC">
      <w:pPr>
        <w:suppressAutoHyphens/>
        <w:bidi w:val="0"/>
        <w:snapToGrid w:val="0"/>
        <w:spacing w:line="360" w:lineRule="auto"/>
        <w:ind w:firstLine="643" w:firstLineChars="200"/>
        <w:rPr>
          <w:rFonts w:ascii="仿宋" w:hAnsi="仿宋" w:eastAsia="仿宋" w:cs="Arial"/>
          <w:kern w:val="0"/>
          <w:sz w:val="32"/>
          <w:szCs w:val="32"/>
        </w:rPr>
      </w:pPr>
      <w:r>
        <w:rPr>
          <w:rFonts w:hint="eastAsia" w:ascii="仿宋" w:hAnsi="仿宋" w:eastAsia="仿宋" w:cs="Arial"/>
          <w:b/>
          <w:kern w:val="0"/>
          <w:sz w:val="32"/>
          <w:szCs w:val="32"/>
        </w:rPr>
        <w:t>第十</w:t>
      </w:r>
      <w:r>
        <w:rPr>
          <w:rFonts w:hint="eastAsia" w:ascii="仿宋" w:hAnsi="仿宋" w:eastAsia="仿宋" w:cs="Arial"/>
          <w:b/>
          <w:kern w:val="0"/>
          <w:sz w:val="32"/>
          <w:szCs w:val="32"/>
          <w:lang w:eastAsia="zh-CN"/>
        </w:rPr>
        <w:t>七</w:t>
      </w:r>
      <w:r>
        <w:rPr>
          <w:rFonts w:hint="eastAsia" w:ascii="仿宋" w:hAnsi="仿宋" w:eastAsia="仿宋" w:cs="Arial"/>
          <w:b/>
          <w:kern w:val="0"/>
          <w:sz w:val="32"/>
          <w:szCs w:val="32"/>
        </w:rPr>
        <w:t>条</w:t>
      </w:r>
      <w:r>
        <w:rPr>
          <w:rFonts w:hint="eastAsia" w:ascii="仿宋" w:hAnsi="仿宋" w:eastAsia="仿宋" w:cs="Arial"/>
          <w:kern w:val="0"/>
          <w:sz w:val="32"/>
          <w:szCs w:val="32"/>
        </w:rPr>
        <w:t>　本管理办法自发布之日起实施。</w:t>
      </w:r>
    </w:p>
    <w:p w14:paraId="63B7960A">
      <w:pPr>
        <w:suppressAutoHyphens/>
        <w:bidi w:val="0"/>
        <w:snapToGrid w:val="0"/>
        <w:spacing w:line="360" w:lineRule="auto"/>
        <w:ind w:firstLine="645"/>
        <w:rPr>
          <w:rFonts w:ascii="仿宋" w:hAnsi="仿宋" w:eastAsia="仿宋"/>
          <w:sz w:val="30"/>
          <w:szCs w:val="30"/>
        </w:rPr>
      </w:pPr>
      <w:r>
        <w:rPr>
          <w:rFonts w:hint="eastAsia" w:ascii="仿宋" w:hAnsi="仿宋" w:eastAsia="仿宋" w:cs="Arial"/>
          <w:b/>
          <w:kern w:val="0"/>
          <w:sz w:val="32"/>
          <w:szCs w:val="32"/>
        </w:rPr>
        <w:t>第十</w:t>
      </w:r>
      <w:r>
        <w:rPr>
          <w:rFonts w:hint="eastAsia" w:ascii="仿宋" w:hAnsi="仿宋" w:eastAsia="仿宋" w:cs="Arial"/>
          <w:b/>
          <w:kern w:val="0"/>
          <w:sz w:val="32"/>
          <w:szCs w:val="32"/>
          <w:lang w:eastAsia="zh-CN"/>
        </w:rPr>
        <w:t>八</w:t>
      </w:r>
      <w:r>
        <w:rPr>
          <w:rFonts w:hint="eastAsia" w:ascii="仿宋" w:hAnsi="仿宋" w:eastAsia="仿宋" w:cs="Arial"/>
          <w:b/>
          <w:kern w:val="0"/>
          <w:sz w:val="32"/>
          <w:szCs w:val="32"/>
        </w:rPr>
        <w:t>条</w:t>
      </w:r>
      <w:r>
        <w:rPr>
          <w:rFonts w:hint="eastAsia" w:ascii="仿宋" w:hAnsi="仿宋" w:eastAsia="仿宋" w:cs="Arial"/>
          <w:kern w:val="0"/>
          <w:sz w:val="32"/>
          <w:szCs w:val="32"/>
        </w:rPr>
        <w:t>　本办法由</w:t>
      </w:r>
      <w:r>
        <w:rPr>
          <w:rFonts w:hint="eastAsia" w:ascii="仿宋" w:hAnsi="仿宋" w:eastAsia="仿宋" w:cs="仿宋_GB2312"/>
          <w:kern w:val="0"/>
          <w:sz w:val="32"/>
          <w:szCs w:val="32"/>
        </w:rPr>
        <w:t>省住房城乡建设厅</w:t>
      </w:r>
      <w:r>
        <w:rPr>
          <w:rFonts w:hint="eastAsia" w:ascii="仿宋" w:hAnsi="仿宋" w:eastAsia="仿宋" w:cs="Arial"/>
          <w:kern w:val="0"/>
          <w:sz w:val="32"/>
          <w:szCs w:val="32"/>
        </w:rPr>
        <w:t>负责解释</w:t>
      </w:r>
      <w:r>
        <w:rPr>
          <w:rFonts w:hint="eastAsia" w:ascii="仿宋" w:hAnsi="仿宋" w:eastAsia="仿宋" w:cs="仿宋_GB2312"/>
          <w:kern w:val="0"/>
          <w:sz w:val="32"/>
          <w:szCs w:val="32"/>
        </w:rPr>
        <w:t>。</w:t>
      </w:r>
    </w:p>
    <w:p w14:paraId="55461BE4">
      <w:pPr>
        <w:widowControl/>
        <w:suppressAutoHyphens/>
        <w:bidi w:val="0"/>
        <w:snapToGrid w:val="0"/>
        <w:spacing w:line="360" w:lineRule="auto"/>
        <w:jc w:val="center"/>
        <w:rPr>
          <w:rFonts w:ascii="仿宋" w:hAnsi="仿宋" w:eastAsia="仿宋" w:cs="方正小标宋简体"/>
          <w:b/>
          <w:bCs/>
          <w:sz w:val="36"/>
          <w:szCs w:val="36"/>
        </w:rPr>
      </w:pPr>
    </w:p>
    <w:p w14:paraId="3005A6F5">
      <w:pPr>
        <w:widowControl/>
        <w:suppressAutoHyphens/>
        <w:bidi w:val="0"/>
        <w:snapToGrid w:val="0"/>
        <w:spacing w:line="360" w:lineRule="auto"/>
        <w:jc w:val="center"/>
        <w:rPr>
          <w:rFonts w:hint="eastAsia" w:ascii="仿宋" w:hAnsi="仿宋" w:eastAsia="仿宋" w:cs="方正小标宋简体"/>
          <w:b/>
          <w:bCs/>
          <w:sz w:val="36"/>
          <w:szCs w:val="36"/>
        </w:rPr>
      </w:pPr>
    </w:p>
    <w:p w14:paraId="183EB535">
      <w:pPr>
        <w:widowControl/>
        <w:suppressAutoHyphens/>
        <w:bidi w:val="0"/>
        <w:snapToGrid w:val="0"/>
        <w:spacing w:line="360" w:lineRule="auto"/>
        <w:jc w:val="center"/>
        <w:rPr>
          <w:rFonts w:hint="eastAsia" w:ascii="仿宋" w:hAnsi="仿宋" w:eastAsia="仿宋" w:cs="方正小标宋简体"/>
          <w:b/>
          <w:bCs/>
          <w:sz w:val="36"/>
          <w:szCs w:val="36"/>
        </w:rPr>
      </w:pPr>
    </w:p>
    <w:p w14:paraId="557C1496">
      <w:pPr>
        <w:widowControl/>
        <w:suppressAutoHyphens/>
        <w:bidi w:val="0"/>
        <w:snapToGrid w:val="0"/>
        <w:spacing w:line="360" w:lineRule="auto"/>
        <w:jc w:val="center"/>
        <w:rPr>
          <w:rFonts w:hint="eastAsia" w:ascii="仿宋" w:hAnsi="仿宋" w:eastAsia="仿宋" w:cs="方正小标宋简体"/>
          <w:b/>
          <w:bCs/>
          <w:sz w:val="36"/>
          <w:szCs w:val="36"/>
        </w:rPr>
      </w:pPr>
    </w:p>
    <w:p w14:paraId="4B41BDE4">
      <w:pPr>
        <w:widowControl/>
        <w:suppressAutoHyphens/>
        <w:bidi w:val="0"/>
        <w:snapToGrid w:val="0"/>
        <w:spacing w:line="360" w:lineRule="auto"/>
        <w:jc w:val="center"/>
        <w:rPr>
          <w:rFonts w:ascii="仿宋" w:hAnsi="仿宋" w:eastAsia="仿宋" w:cs="方正小标宋简体"/>
          <w:b/>
          <w:bCs/>
          <w:sz w:val="36"/>
          <w:szCs w:val="36"/>
        </w:rPr>
      </w:pPr>
    </w:p>
    <w:p w14:paraId="72A85DCB">
      <w:pPr>
        <w:widowControl/>
        <w:suppressAutoHyphens/>
        <w:bidi w:val="0"/>
        <w:snapToGrid w:val="0"/>
        <w:spacing w:line="360" w:lineRule="auto"/>
        <w:jc w:val="center"/>
        <w:rPr>
          <w:rFonts w:ascii="仿宋" w:hAnsi="仿宋" w:eastAsia="仿宋" w:cs="方正小标宋简体"/>
          <w:b/>
          <w:bCs/>
          <w:sz w:val="36"/>
          <w:szCs w:val="36"/>
        </w:rPr>
      </w:pPr>
    </w:p>
    <w:p w14:paraId="477DEDBE">
      <w:pPr>
        <w:suppressAutoHyphens/>
        <w:bidi w:val="0"/>
        <w:spacing w:after="156" w:afterLines="50"/>
        <w:jc w:val="left"/>
        <w:rPr>
          <w:rFonts w:hint="eastAsia" w:ascii="仿宋" w:hAnsi="仿宋" w:eastAsia="仿宋" w:cs="仿宋"/>
          <w:sz w:val="32"/>
          <w:szCs w:val="32"/>
        </w:rPr>
      </w:pPr>
    </w:p>
    <w:p w14:paraId="03B56F47">
      <w:pPr>
        <w:suppressAutoHyphens/>
        <w:bidi w:val="0"/>
        <w:spacing w:after="156" w:afterLines="50"/>
        <w:jc w:val="left"/>
        <w:rPr>
          <w:rFonts w:ascii="仿宋" w:hAnsi="仿宋" w:eastAsia="仿宋" w:cs="方正小标宋简体"/>
          <w:b/>
          <w:bCs/>
          <w:sz w:val="36"/>
          <w:szCs w:val="36"/>
        </w:rPr>
      </w:pPr>
      <w:r>
        <w:rPr>
          <w:rFonts w:hint="eastAsia" w:ascii="仿宋" w:hAnsi="仿宋" w:eastAsia="仿宋" w:cs="仿宋"/>
          <w:sz w:val="32"/>
          <w:szCs w:val="32"/>
        </w:rPr>
        <w:t>附件1：</w:t>
      </w:r>
    </w:p>
    <w:p w14:paraId="03C484D9">
      <w:pPr>
        <w:suppressAutoHyphens/>
        <w:bidi w:val="0"/>
        <w:spacing w:after="156" w:afterLines="50"/>
        <w:jc w:val="center"/>
        <w:rPr>
          <w:rFonts w:ascii="仿宋" w:hAnsi="仿宋" w:eastAsia="仿宋" w:cs="方正小标宋简体"/>
          <w:b/>
          <w:bCs/>
          <w:sz w:val="36"/>
          <w:szCs w:val="36"/>
        </w:rPr>
      </w:pPr>
      <w:r>
        <w:rPr>
          <w:rFonts w:hint="eastAsia" w:ascii="仿宋" w:hAnsi="仿宋" w:eastAsia="仿宋" w:cs="方正小标宋简体"/>
          <w:b/>
          <w:bCs/>
          <w:sz w:val="36"/>
          <w:szCs w:val="36"/>
        </w:rPr>
        <w:t>辽宁省装配式建筑示范城市申请表</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1689"/>
        <w:gridCol w:w="763"/>
        <w:gridCol w:w="504"/>
        <w:gridCol w:w="422"/>
        <w:gridCol w:w="845"/>
        <w:gridCol w:w="228"/>
        <w:gridCol w:w="616"/>
        <w:gridCol w:w="423"/>
        <w:gridCol w:w="1269"/>
      </w:tblGrid>
      <w:tr w14:paraId="76A1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0"/>
            <w:tcBorders>
              <w:top w:val="single" w:color="auto" w:sz="4" w:space="0"/>
              <w:left w:val="single" w:color="auto" w:sz="4" w:space="0"/>
              <w:bottom w:val="single" w:color="auto" w:sz="4" w:space="0"/>
              <w:right w:val="single" w:color="auto" w:sz="4" w:space="0"/>
            </w:tcBorders>
            <w:noWrap w:val="0"/>
            <w:vAlign w:val="top"/>
          </w:tcPr>
          <w:p w14:paraId="7FA6826A">
            <w:pPr>
              <w:suppressAutoHyphens/>
              <w:bidi w:val="0"/>
              <w:rPr>
                <w:rFonts w:ascii="仿宋" w:hAnsi="仿宋" w:eastAsia="仿宋" w:cs="宋体-18030"/>
                <w:b/>
                <w:sz w:val="36"/>
                <w:szCs w:val="36"/>
              </w:rPr>
            </w:pPr>
            <w:r>
              <w:rPr>
                <w:rFonts w:hint="eastAsia" w:ascii="仿宋" w:hAnsi="仿宋" w:eastAsia="仿宋" w:cs="黑体"/>
                <w:bCs/>
                <w:sz w:val="28"/>
                <w:szCs w:val="28"/>
              </w:rPr>
              <w:t>一、城市基本情况</w:t>
            </w:r>
          </w:p>
        </w:tc>
      </w:tr>
      <w:tr w14:paraId="33B5E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63" w:type="dxa"/>
            <w:tcBorders>
              <w:top w:val="single" w:color="auto" w:sz="4" w:space="0"/>
              <w:left w:val="single" w:color="auto" w:sz="4" w:space="0"/>
              <w:bottom w:val="single" w:color="auto" w:sz="4" w:space="0"/>
              <w:right w:val="single" w:color="auto" w:sz="4" w:space="0"/>
            </w:tcBorders>
            <w:noWrap w:val="0"/>
            <w:vAlign w:val="center"/>
          </w:tcPr>
          <w:p w14:paraId="27BF08FE">
            <w:pPr>
              <w:suppressAutoHyphens/>
              <w:bidi w:val="0"/>
              <w:jc w:val="left"/>
              <w:rPr>
                <w:rFonts w:ascii="仿宋" w:hAnsi="仿宋" w:eastAsia="仿宋" w:cs="仿宋_GB2312"/>
                <w:bCs/>
                <w:sz w:val="24"/>
                <w:szCs w:val="22"/>
              </w:rPr>
            </w:pPr>
            <w:r>
              <w:rPr>
                <w:rFonts w:hint="eastAsia" w:ascii="仿宋" w:hAnsi="仿宋" w:eastAsia="仿宋" w:cs="仿宋_GB2312"/>
                <w:bCs/>
                <w:sz w:val="24"/>
                <w:szCs w:val="22"/>
              </w:rPr>
              <w:t>申请单位</w:t>
            </w:r>
          </w:p>
        </w:tc>
        <w:tc>
          <w:tcPr>
            <w:tcW w:w="6759" w:type="dxa"/>
            <w:gridSpan w:val="9"/>
            <w:tcBorders>
              <w:top w:val="single" w:color="auto" w:sz="4" w:space="0"/>
              <w:left w:val="single" w:color="auto" w:sz="4" w:space="0"/>
              <w:bottom w:val="single" w:color="auto" w:sz="4" w:space="0"/>
              <w:right w:val="single" w:color="auto" w:sz="4" w:space="0"/>
            </w:tcBorders>
            <w:noWrap w:val="0"/>
            <w:vAlign w:val="center"/>
          </w:tcPr>
          <w:p w14:paraId="4AE1D259">
            <w:pPr>
              <w:suppressAutoHyphens/>
              <w:bidi w:val="0"/>
              <w:rPr>
                <w:rFonts w:ascii="仿宋" w:hAnsi="仿宋" w:eastAsia="仿宋" w:cs="仿宋_GB2312"/>
                <w:bCs/>
                <w:sz w:val="24"/>
                <w:szCs w:val="22"/>
              </w:rPr>
            </w:pPr>
            <w:r>
              <w:rPr>
                <w:rFonts w:hint="eastAsia" w:ascii="仿宋" w:hAnsi="仿宋" w:eastAsia="仿宋" w:cs="仿宋_GB2312"/>
                <w:bCs/>
                <w:sz w:val="24"/>
                <w:szCs w:val="22"/>
              </w:rPr>
              <w:t xml:space="preserve">        市        （县、区）人民政府</w:t>
            </w:r>
          </w:p>
        </w:tc>
      </w:tr>
      <w:tr w14:paraId="0095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63" w:type="dxa"/>
            <w:tcBorders>
              <w:top w:val="single" w:color="auto" w:sz="4" w:space="0"/>
              <w:left w:val="single" w:color="auto" w:sz="4" w:space="0"/>
              <w:bottom w:val="single" w:color="auto" w:sz="4" w:space="0"/>
              <w:right w:val="single" w:color="auto" w:sz="4" w:space="0"/>
            </w:tcBorders>
            <w:noWrap w:val="0"/>
            <w:vAlign w:val="center"/>
          </w:tcPr>
          <w:p w14:paraId="036660BF">
            <w:pPr>
              <w:suppressAutoHyphens/>
              <w:bidi w:val="0"/>
              <w:jc w:val="left"/>
              <w:rPr>
                <w:rFonts w:ascii="仿宋" w:hAnsi="仿宋" w:eastAsia="仿宋" w:cs="仿宋_GB2312"/>
                <w:bCs/>
                <w:sz w:val="24"/>
                <w:szCs w:val="22"/>
              </w:rPr>
            </w:pPr>
            <w:r>
              <w:rPr>
                <w:rFonts w:hint="eastAsia" w:ascii="仿宋" w:hAnsi="仿宋" w:eastAsia="仿宋" w:cs="仿宋_GB2312"/>
                <w:bCs/>
                <w:sz w:val="24"/>
                <w:szCs w:val="22"/>
              </w:rPr>
              <w:t>常住人口（万人）</w:t>
            </w:r>
          </w:p>
        </w:tc>
        <w:tc>
          <w:tcPr>
            <w:tcW w:w="2452" w:type="dxa"/>
            <w:gridSpan w:val="2"/>
            <w:tcBorders>
              <w:top w:val="single" w:color="auto" w:sz="4" w:space="0"/>
              <w:left w:val="single" w:color="auto" w:sz="4" w:space="0"/>
              <w:bottom w:val="single" w:color="auto" w:sz="4" w:space="0"/>
              <w:right w:val="single" w:color="auto" w:sz="4" w:space="0"/>
            </w:tcBorders>
            <w:noWrap w:val="0"/>
            <w:vAlign w:val="center"/>
          </w:tcPr>
          <w:p w14:paraId="3681B62F">
            <w:pPr>
              <w:suppressAutoHyphens/>
              <w:bidi w:val="0"/>
              <w:rPr>
                <w:rFonts w:ascii="仿宋" w:hAnsi="仿宋" w:eastAsia="仿宋" w:cs="仿宋_GB2312"/>
                <w:bCs/>
                <w:sz w:val="24"/>
                <w:szCs w:val="22"/>
              </w:rPr>
            </w:pPr>
            <w:r>
              <w:rPr>
                <w:rFonts w:hint="eastAsia" w:ascii="仿宋" w:hAnsi="仿宋" w:eastAsia="仿宋" w:cs="仿宋_GB2312"/>
                <w:bCs/>
                <w:sz w:val="24"/>
                <w:szCs w:val="22"/>
              </w:rPr>
              <w:t xml:space="preserve">             </w:t>
            </w:r>
          </w:p>
        </w:tc>
        <w:tc>
          <w:tcPr>
            <w:tcW w:w="1999" w:type="dxa"/>
            <w:gridSpan w:val="4"/>
            <w:tcBorders>
              <w:top w:val="single" w:color="auto" w:sz="4" w:space="0"/>
              <w:left w:val="single" w:color="auto" w:sz="4" w:space="0"/>
              <w:bottom w:val="single" w:color="auto" w:sz="4" w:space="0"/>
              <w:right w:val="single" w:color="auto" w:sz="4" w:space="0"/>
            </w:tcBorders>
            <w:noWrap w:val="0"/>
            <w:vAlign w:val="center"/>
          </w:tcPr>
          <w:p w14:paraId="377537C7">
            <w:pPr>
              <w:suppressAutoHyphens/>
              <w:bidi w:val="0"/>
              <w:jc w:val="left"/>
              <w:rPr>
                <w:rFonts w:ascii="仿宋" w:hAnsi="仿宋" w:eastAsia="仿宋" w:cs="仿宋_GB2312"/>
                <w:bCs/>
                <w:sz w:val="24"/>
                <w:szCs w:val="22"/>
              </w:rPr>
            </w:pPr>
            <w:r>
              <w:rPr>
                <w:rFonts w:hint="eastAsia" w:ascii="仿宋" w:hAnsi="仿宋" w:eastAsia="仿宋" w:cs="仿宋_GB2312"/>
                <w:bCs/>
                <w:sz w:val="24"/>
                <w:szCs w:val="22"/>
              </w:rPr>
              <w:t>城市面积（平方公里）</w:t>
            </w:r>
          </w:p>
        </w:tc>
        <w:tc>
          <w:tcPr>
            <w:tcW w:w="2308" w:type="dxa"/>
            <w:gridSpan w:val="3"/>
            <w:tcBorders>
              <w:top w:val="single" w:color="auto" w:sz="4" w:space="0"/>
              <w:left w:val="single" w:color="auto" w:sz="4" w:space="0"/>
              <w:bottom w:val="single" w:color="auto" w:sz="4" w:space="0"/>
              <w:right w:val="single" w:color="auto" w:sz="4" w:space="0"/>
            </w:tcBorders>
            <w:noWrap w:val="0"/>
            <w:vAlign w:val="center"/>
          </w:tcPr>
          <w:p w14:paraId="293466A1">
            <w:pPr>
              <w:suppressAutoHyphens/>
              <w:bidi w:val="0"/>
              <w:rPr>
                <w:rFonts w:ascii="仿宋" w:hAnsi="仿宋" w:eastAsia="仿宋" w:cs="仿宋_GB2312"/>
                <w:bCs/>
                <w:sz w:val="24"/>
                <w:szCs w:val="22"/>
              </w:rPr>
            </w:pPr>
          </w:p>
        </w:tc>
      </w:tr>
      <w:tr w14:paraId="25B6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63" w:type="dxa"/>
            <w:tcBorders>
              <w:top w:val="single" w:color="auto" w:sz="4" w:space="0"/>
              <w:left w:val="single" w:color="auto" w:sz="4" w:space="0"/>
              <w:bottom w:val="single" w:color="auto" w:sz="4" w:space="0"/>
              <w:right w:val="single" w:color="auto" w:sz="4" w:space="0"/>
            </w:tcBorders>
            <w:noWrap w:val="0"/>
            <w:vAlign w:val="center"/>
          </w:tcPr>
          <w:p w14:paraId="1D5A3FAB">
            <w:pPr>
              <w:suppressAutoHyphens/>
              <w:bidi w:val="0"/>
              <w:rPr>
                <w:rFonts w:ascii="仿宋" w:hAnsi="仿宋" w:eastAsia="仿宋" w:cs="仿宋_GB2312"/>
                <w:bCs/>
                <w:sz w:val="24"/>
                <w:szCs w:val="22"/>
              </w:rPr>
            </w:pPr>
            <w:r>
              <w:rPr>
                <w:rFonts w:hint="eastAsia" w:ascii="仿宋" w:hAnsi="仿宋" w:eastAsia="仿宋" w:cs="仿宋_GB2312"/>
                <w:bCs/>
                <w:sz w:val="24"/>
                <w:szCs w:val="22"/>
              </w:rPr>
              <w:t>国内生产总值（亿元）</w:t>
            </w:r>
          </w:p>
        </w:tc>
        <w:tc>
          <w:tcPr>
            <w:tcW w:w="2452" w:type="dxa"/>
            <w:gridSpan w:val="2"/>
            <w:tcBorders>
              <w:top w:val="single" w:color="auto" w:sz="4" w:space="0"/>
              <w:left w:val="single" w:color="auto" w:sz="4" w:space="0"/>
              <w:bottom w:val="single" w:color="auto" w:sz="4" w:space="0"/>
              <w:right w:val="single" w:color="auto" w:sz="4" w:space="0"/>
            </w:tcBorders>
            <w:noWrap w:val="0"/>
            <w:vAlign w:val="center"/>
          </w:tcPr>
          <w:p w14:paraId="18C1FB73">
            <w:pPr>
              <w:suppressAutoHyphens/>
              <w:bidi w:val="0"/>
              <w:rPr>
                <w:rFonts w:ascii="仿宋" w:hAnsi="仿宋" w:eastAsia="仿宋" w:cs="仿宋_GB2312"/>
                <w:bCs/>
                <w:sz w:val="24"/>
                <w:szCs w:val="22"/>
              </w:rPr>
            </w:pPr>
            <w:r>
              <w:rPr>
                <w:rFonts w:hint="eastAsia" w:ascii="仿宋" w:hAnsi="仿宋" w:eastAsia="仿宋" w:cs="仿宋_GB2312"/>
                <w:bCs/>
                <w:sz w:val="24"/>
                <w:szCs w:val="22"/>
              </w:rPr>
              <w:t xml:space="preserve">            </w:t>
            </w:r>
          </w:p>
        </w:tc>
        <w:tc>
          <w:tcPr>
            <w:tcW w:w="1999" w:type="dxa"/>
            <w:gridSpan w:val="4"/>
            <w:tcBorders>
              <w:top w:val="single" w:color="auto" w:sz="4" w:space="0"/>
              <w:left w:val="single" w:color="auto" w:sz="4" w:space="0"/>
              <w:bottom w:val="single" w:color="auto" w:sz="4" w:space="0"/>
              <w:right w:val="single" w:color="auto" w:sz="4" w:space="0"/>
            </w:tcBorders>
            <w:noWrap w:val="0"/>
            <w:vAlign w:val="center"/>
          </w:tcPr>
          <w:p w14:paraId="2AAE53D3">
            <w:pPr>
              <w:suppressAutoHyphens/>
              <w:bidi w:val="0"/>
              <w:rPr>
                <w:rFonts w:ascii="仿宋" w:hAnsi="仿宋" w:eastAsia="仿宋" w:cs="仿宋_GB2312"/>
                <w:bCs/>
                <w:sz w:val="24"/>
                <w:szCs w:val="22"/>
              </w:rPr>
            </w:pPr>
            <w:r>
              <w:rPr>
                <w:rFonts w:hint="eastAsia" w:ascii="仿宋" w:hAnsi="仿宋" w:eastAsia="仿宋" w:cs="仿宋_GB2312"/>
                <w:bCs/>
                <w:sz w:val="24"/>
                <w:szCs w:val="22"/>
              </w:rPr>
              <w:t>建筑业总产值（亿元）</w:t>
            </w:r>
          </w:p>
        </w:tc>
        <w:tc>
          <w:tcPr>
            <w:tcW w:w="2308" w:type="dxa"/>
            <w:gridSpan w:val="3"/>
            <w:tcBorders>
              <w:top w:val="single" w:color="auto" w:sz="4" w:space="0"/>
              <w:left w:val="single" w:color="auto" w:sz="4" w:space="0"/>
              <w:bottom w:val="single" w:color="auto" w:sz="4" w:space="0"/>
              <w:right w:val="single" w:color="auto" w:sz="4" w:space="0"/>
            </w:tcBorders>
            <w:noWrap w:val="0"/>
            <w:vAlign w:val="center"/>
          </w:tcPr>
          <w:p w14:paraId="52A525A9">
            <w:pPr>
              <w:suppressAutoHyphens/>
              <w:bidi w:val="0"/>
              <w:rPr>
                <w:rFonts w:ascii="仿宋" w:hAnsi="仿宋" w:eastAsia="仿宋" w:cs="仿宋_GB2312"/>
                <w:bCs/>
                <w:sz w:val="24"/>
                <w:szCs w:val="22"/>
              </w:rPr>
            </w:pPr>
            <w:r>
              <w:rPr>
                <w:rFonts w:hint="eastAsia" w:ascii="仿宋" w:hAnsi="仿宋" w:eastAsia="仿宋" w:cs="仿宋_GB2312"/>
                <w:bCs/>
                <w:sz w:val="24"/>
                <w:szCs w:val="22"/>
              </w:rPr>
              <w:t xml:space="preserve">          </w:t>
            </w:r>
          </w:p>
        </w:tc>
      </w:tr>
      <w:tr w14:paraId="53349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exact"/>
        </w:trPr>
        <w:tc>
          <w:tcPr>
            <w:tcW w:w="1763" w:type="dxa"/>
            <w:tcBorders>
              <w:top w:val="single" w:color="auto" w:sz="4" w:space="0"/>
              <w:left w:val="single" w:color="auto" w:sz="4" w:space="0"/>
              <w:bottom w:val="single" w:color="auto" w:sz="4" w:space="0"/>
              <w:right w:val="single" w:color="auto" w:sz="4" w:space="0"/>
            </w:tcBorders>
            <w:noWrap w:val="0"/>
            <w:vAlign w:val="center"/>
          </w:tcPr>
          <w:p w14:paraId="27A4FBC0">
            <w:pPr>
              <w:suppressAutoHyphens/>
              <w:bidi w:val="0"/>
              <w:rPr>
                <w:rFonts w:ascii="仿宋" w:hAnsi="仿宋" w:eastAsia="仿宋" w:cs="仿宋_GB2312"/>
                <w:bCs/>
                <w:sz w:val="24"/>
                <w:szCs w:val="22"/>
              </w:rPr>
            </w:pPr>
            <w:r>
              <w:rPr>
                <w:rFonts w:hint="eastAsia" w:ascii="仿宋" w:hAnsi="仿宋" w:eastAsia="仿宋" w:cs="仿宋_GB2312"/>
                <w:bCs/>
                <w:sz w:val="24"/>
                <w:szCs w:val="22"/>
              </w:rPr>
              <w:t>上一年度新开工建筑面积（万平方米）</w:t>
            </w:r>
          </w:p>
        </w:tc>
        <w:tc>
          <w:tcPr>
            <w:tcW w:w="2452" w:type="dxa"/>
            <w:gridSpan w:val="2"/>
            <w:tcBorders>
              <w:top w:val="single" w:color="auto" w:sz="4" w:space="0"/>
              <w:left w:val="single" w:color="auto" w:sz="4" w:space="0"/>
              <w:bottom w:val="single" w:color="auto" w:sz="4" w:space="0"/>
              <w:right w:val="single" w:color="auto" w:sz="4" w:space="0"/>
            </w:tcBorders>
            <w:noWrap w:val="0"/>
            <w:vAlign w:val="center"/>
          </w:tcPr>
          <w:p w14:paraId="21D04981">
            <w:pPr>
              <w:suppressAutoHyphens/>
              <w:bidi w:val="0"/>
              <w:rPr>
                <w:rFonts w:ascii="仿宋" w:hAnsi="仿宋" w:eastAsia="仿宋" w:cs="仿宋_GB2312"/>
                <w:bCs/>
                <w:sz w:val="24"/>
                <w:szCs w:val="22"/>
              </w:rPr>
            </w:pPr>
          </w:p>
        </w:tc>
        <w:tc>
          <w:tcPr>
            <w:tcW w:w="1999" w:type="dxa"/>
            <w:gridSpan w:val="4"/>
            <w:tcBorders>
              <w:top w:val="single" w:color="auto" w:sz="4" w:space="0"/>
              <w:left w:val="single" w:color="auto" w:sz="4" w:space="0"/>
              <w:bottom w:val="single" w:color="auto" w:sz="4" w:space="0"/>
              <w:right w:val="single" w:color="auto" w:sz="4" w:space="0"/>
            </w:tcBorders>
            <w:noWrap w:val="0"/>
            <w:vAlign w:val="center"/>
          </w:tcPr>
          <w:p w14:paraId="19DE1F57">
            <w:pPr>
              <w:suppressAutoHyphens/>
              <w:bidi w:val="0"/>
              <w:rPr>
                <w:rFonts w:ascii="仿宋" w:hAnsi="仿宋" w:eastAsia="仿宋" w:cs="仿宋_GB2312"/>
                <w:bCs/>
                <w:sz w:val="24"/>
                <w:szCs w:val="22"/>
              </w:rPr>
            </w:pPr>
            <w:r>
              <w:rPr>
                <w:rFonts w:hint="eastAsia" w:ascii="仿宋" w:hAnsi="仿宋" w:eastAsia="仿宋" w:cs="仿宋_GB2312"/>
                <w:bCs/>
                <w:sz w:val="24"/>
                <w:szCs w:val="22"/>
              </w:rPr>
              <w:t>上一年度新开工装配式建筑占比（%）</w:t>
            </w:r>
          </w:p>
        </w:tc>
        <w:tc>
          <w:tcPr>
            <w:tcW w:w="2308" w:type="dxa"/>
            <w:gridSpan w:val="3"/>
            <w:tcBorders>
              <w:top w:val="single" w:color="auto" w:sz="4" w:space="0"/>
              <w:left w:val="single" w:color="auto" w:sz="4" w:space="0"/>
              <w:bottom w:val="single" w:color="auto" w:sz="4" w:space="0"/>
              <w:right w:val="single" w:color="auto" w:sz="4" w:space="0"/>
            </w:tcBorders>
            <w:noWrap w:val="0"/>
            <w:vAlign w:val="center"/>
          </w:tcPr>
          <w:p w14:paraId="6E04338F">
            <w:pPr>
              <w:suppressAutoHyphens/>
              <w:bidi w:val="0"/>
              <w:rPr>
                <w:rFonts w:ascii="仿宋" w:hAnsi="仿宋" w:eastAsia="仿宋" w:cs="仿宋_GB2312"/>
                <w:bCs/>
                <w:sz w:val="24"/>
                <w:szCs w:val="22"/>
              </w:rPr>
            </w:pPr>
            <w:r>
              <w:rPr>
                <w:rFonts w:hint="eastAsia" w:ascii="仿宋" w:hAnsi="仿宋" w:eastAsia="仿宋" w:cs="仿宋_GB2312"/>
                <w:bCs/>
                <w:sz w:val="24"/>
                <w:szCs w:val="22"/>
              </w:rPr>
              <w:t xml:space="preserve">            </w:t>
            </w:r>
          </w:p>
        </w:tc>
      </w:tr>
      <w:tr w14:paraId="6C3D8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63" w:type="dxa"/>
            <w:vMerge w:val="restart"/>
            <w:tcBorders>
              <w:top w:val="single" w:color="auto" w:sz="4" w:space="0"/>
              <w:left w:val="single" w:color="auto" w:sz="4" w:space="0"/>
              <w:bottom w:val="single" w:color="auto" w:sz="4" w:space="0"/>
              <w:right w:val="single" w:color="auto" w:sz="4" w:space="0"/>
            </w:tcBorders>
            <w:noWrap w:val="0"/>
            <w:vAlign w:val="center"/>
          </w:tcPr>
          <w:p w14:paraId="3075FD5E">
            <w:pPr>
              <w:suppressAutoHyphens/>
              <w:bidi w:val="0"/>
              <w:rPr>
                <w:rFonts w:ascii="仿宋" w:hAnsi="仿宋" w:eastAsia="仿宋" w:cs="仿宋_GB2312"/>
                <w:bCs/>
                <w:sz w:val="24"/>
                <w:szCs w:val="22"/>
              </w:rPr>
            </w:pPr>
            <w:r>
              <w:rPr>
                <w:rFonts w:hint="eastAsia" w:ascii="仿宋" w:hAnsi="仿宋" w:eastAsia="仿宋" w:cs="仿宋_GB2312"/>
                <w:bCs/>
                <w:sz w:val="24"/>
                <w:szCs w:val="22"/>
              </w:rPr>
              <w:t>上一年度新开工装配式建筑面积（万平方米）</w:t>
            </w:r>
          </w:p>
        </w:tc>
        <w:tc>
          <w:tcPr>
            <w:tcW w:w="1689" w:type="dxa"/>
            <w:vMerge w:val="restart"/>
            <w:tcBorders>
              <w:top w:val="single" w:color="auto" w:sz="4" w:space="0"/>
              <w:left w:val="single" w:color="auto" w:sz="4" w:space="0"/>
              <w:bottom w:val="single" w:color="auto" w:sz="4" w:space="0"/>
              <w:right w:val="single" w:color="auto" w:sz="4" w:space="0"/>
            </w:tcBorders>
            <w:noWrap w:val="0"/>
            <w:vAlign w:val="center"/>
          </w:tcPr>
          <w:p w14:paraId="6B54E5CC">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总计</w:t>
            </w:r>
          </w:p>
        </w:tc>
        <w:tc>
          <w:tcPr>
            <w:tcW w:w="5070" w:type="dxa"/>
            <w:gridSpan w:val="8"/>
            <w:tcBorders>
              <w:top w:val="single" w:color="auto" w:sz="4" w:space="0"/>
              <w:left w:val="single" w:color="auto" w:sz="4" w:space="0"/>
              <w:bottom w:val="single" w:color="auto" w:sz="4" w:space="0"/>
              <w:right w:val="single" w:color="auto" w:sz="4" w:space="0"/>
            </w:tcBorders>
            <w:noWrap w:val="0"/>
            <w:vAlign w:val="center"/>
          </w:tcPr>
          <w:p w14:paraId="0355E294">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其中</w:t>
            </w:r>
          </w:p>
        </w:tc>
      </w:tr>
      <w:tr w14:paraId="11F2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63" w:type="dxa"/>
            <w:vMerge w:val="continue"/>
            <w:tcBorders>
              <w:top w:val="single" w:color="auto" w:sz="4" w:space="0"/>
              <w:left w:val="single" w:color="auto" w:sz="4" w:space="0"/>
              <w:bottom w:val="single" w:color="auto" w:sz="4" w:space="0"/>
              <w:right w:val="single" w:color="auto" w:sz="4" w:space="0"/>
            </w:tcBorders>
            <w:noWrap w:val="0"/>
            <w:vAlign w:val="center"/>
          </w:tcPr>
          <w:p w14:paraId="18785C5F">
            <w:pPr>
              <w:widowControl/>
              <w:suppressAutoHyphens/>
              <w:bidi w:val="0"/>
              <w:jc w:val="left"/>
              <w:rPr>
                <w:rFonts w:ascii="仿宋" w:hAnsi="仿宋" w:eastAsia="仿宋" w:cs="仿宋_GB2312"/>
                <w:bCs/>
                <w:sz w:val="24"/>
                <w:szCs w:val="22"/>
              </w:rPr>
            </w:pPr>
          </w:p>
        </w:tc>
        <w:tc>
          <w:tcPr>
            <w:tcW w:w="1689" w:type="dxa"/>
            <w:vMerge w:val="continue"/>
            <w:tcBorders>
              <w:top w:val="single" w:color="auto" w:sz="4" w:space="0"/>
              <w:left w:val="single" w:color="auto" w:sz="4" w:space="0"/>
              <w:bottom w:val="single" w:color="auto" w:sz="4" w:space="0"/>
              <w:right w:val="single" w:color="auto" w:sz="4" w:space="0"/>
            </w:tcBorders>
            <w:noWrap w:val="0"/>
            <w:vAlign w:val="center"/>
          </w:tcPr>
          <w:p w14:paraId="211588FE">
            <w:pPr>
              <w:widowControl/>
              <w:suppressAutoHyphens/>
              <w:bidi w:val="0"/>
              <w:jc w:val="left"/>
              <w:rPr>
                <w:rFonts w:ascii="仿宋" w:hAnsi="仿宋" w:eastAsia="仿宋" w:cs="仿宋_GB2312"/>
                <w:bCs/>
                <w:sz w:val="24"/>
                <w:szCs w:val="22"/>
              </w:rPr>
            </w:pP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14:paraId="519DEE21">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装配式混凝土建筑</w:t>
            </w: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14:paraId="115AFAA4">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钢结构</w:t>
            </w:r>
          </w:p>
          <w:p w14:paraId="5D2CB211">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建筑</w:t>
            </w:r>
          </w:p>
        </w:tc>
        <w:tc>
          <w:tcPr>
            <w:tcW w:w="1267" w:type="dxa"/>
            <w:gridSpan w:val="3"/>
            <w:tcBorders>
              <w:top w:val="single" w:color="auto" w:sz="4" w:space="0"/>
              <w:left w:val="single" w:color="auto" w:sz="4" w:space="0"/>
              <w:bottom w:val="single" w:color="auto" w:sz="4" w:space="0"/>
              <w:right w:val="single" w:color="auto" w:sz="4" w:space="0"/>
            </w:tcBorders>
            <w:noWrap w:val="0"/>
            <w:vAlign w:val="center"/>
          </w:tcPr>
          <w:p w14:paraId="38092721">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现代木结构建筑</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C885B7A">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其它</w:t>
            </w:r>
          </w:p>
        </w:tc>
      </w:tr>
      <w:tr w14:paraId="71E8D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63" w:type="dxa"/>
            <w:vMerge w:val="continue"/>
            <w:tcBorders>
              <w:top w:val="single" w:color="auto" w:sz="4" w:space="0"/>
              <w:left w:val="single" w:color="auto" w:sz="4" w:space="0"/>
              <w:bottom w:val="single" w:color="auto" w:sz="4" w:space="0"/>
              <w:right w:val="single" w:color="auto" w:sz="4" w:space="0"/>
            </w:tcBorders>
            <w:noWrap w:val="0"/>
            <w:vAlign w:val="center"/>
          </w:tcPr>
          <w:p w14:paraId="5A5559A6">
            <w:pPr>
              <w:widowControl/>
              <w:suppressAutoHyphens/>
              <w:bidi w:val="0"/>
              <w:jc w:val="left"/>
              <w:rPr>
                <w:rFonts w:ascii="仿宋" w:hAnsi="仿宋" w:eastAsia="仿宋" w:cs="仿宋_GB2312"/>
                <w:bCs/>
                <w:sz w:val="24"/>
                <w:szCs w:val="22"/>
              </w:rPr>
            </w:pPr>
          </w:p>
        </w:tc>
        <w:tc>
          <w:tcPr>
            <w:tcW w:w="1689" w:type="dxa"/>
            <w:tcBorders>
              <w:top w:val="single" w:color="auto" w:sz="4" w:space="0"/>
              <w:left w:val="single" w:color="auto" w:sz="4" w:space="0"/>
              <w:bottom w:val="single" w:color="auto" w:sz="4" w:space="0"/>
              <w:right w:val="single" w:color="auto" w:sz="4" w:space="0"/>
            </w:tcBorders>
            <w:noWrap w:val="0"/>
            <w:vAlign w:val="center"/>
          </w:tcPr>
          <w:p w14:paraId="0E551EBF">
            <w:pPr>
              <w:suppressAutoHyphens/>
              <w:bidi w:val="0"/>
              <w:rPr>
                <w:rFonts w:ascii="仿宋" w:hAnsi="仿宋" w:eastAsia="仿宋" w:cs="仿宋_GB2312"/>
                <w:bCs/>
                <w:sz w:val="24"/>
                <w:szCs w:val="22"/>
              </w:rPr>
            </w:pP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14:paraId="0DEE1797">
            <w:pPr>
              <w:suppressAutoHyphens/>
              <w:bidi w:val="0"/>
              <w:rPr>
                <w:rFonts w:ascii="仿宋" w:hAnsi="仿宋" w:eastAsia="仿宋" w:cs="仿宋_GB2312"/>
                <w:bCs/>
                <w:sz w:val="24"/>
                <w:szCs w:val="22"/>
              </w:rPr>
            </w:pP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14:paraId="089AA8FE">
            <w:pPr>
              <w:suppressAutoHyphens/>
              <w:bidi w:val="0"/>
              <w:rPr>
                <w:rFonts w:ascii="仿宋" w:hAnsi="仿宋" w:eastAsia="仿宋" w:cs="仿宋_GB2312"/>
                <w:bCs/>
                <w:sz w:val="24"/>
                <w:szCs w:val="22"/>
              </w:rPr>
            </w:pPr>
          </w:p>
        </w:tc>
        <w:tc>
          <w:tcPr>
            <w:tcW w:w="1267" w:type="dxa"/>
            <w:gridSpan w:val="3"/>
            <w:tcBorders>
              <w:top w:val="single" w:color="auto" w:sz="4" w:space="0"/>
              <w:left w:val="single" w:color="auto" w:sz="4" w:space="0"/>
              <w:bottom w:val="single" w:color="auto" w:sz="4" w:space="0"/>
              <w:right w:val="single" w:color="auto" w:sz="4" w:space="0"/>
            </w:tcBorders>
            <w:noWrap w:val="0"/>
            <w:vAlign w:val="center"/>
          </w:tcPr>
          <w:p w14:paraId="32BD8DAB">
            <w:pPr>
              <w:suppressAutoHyphens/>
              <w:bidi w:val="0"/>
              <w:rPr>
                <w:rFonts w:ascii="仿宋" w:hAnsi="仿宋" w:eastAsia="仿宋" w:cs="仿宋_GB2312"/>
                <w:bCs/>
                <w:sz w:val="24"/>
                <w:szCs w:val="22"/>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8FEE95C">
            <w:pPr>
              <w:suppressAutoHyphens/>
              <w:bidi w:val="0"/>
              <w:rPr>
                <w:rFonts w:ascii="仿宋" w:hAnsi="仿宋" w:eastAsia="仿宋" w:cs="仿宋_GB2312"/>
                <w:bCs/>
                <w:sz w:val="24"/>
                <w:szCs w:val="22"/>
              </w:rPr>
            </w:pPr>
          </w:p>
        </w:tc>
      </w:tr>
      <w:tr w14:paraId="5B9A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10"/>
            <w:tcBorders>
              <w:top w:val="single" w:color="auto" w:sz="4" w:space="0"/>
              <w:left w:val="single" w:color="auto" w:sz="4" w:space="0"/>
              <w:bottom w:val="single" w:color="auto" w:sz="4" w:space="0"/>
              <w:right w:val="single" w:color="auto" w:sz="4" w:space="0"/>
            </w:tcBorders>
            <w:noWrap w:val="0"/>
            <w:vAlign w:val="center"/>
          </w:tcPr>
          <w:p w14:paraId="40B98AD6">
            <w:pPr>
              <w:suppressAutoHyphens/>
              <w:bidi w:val="0"/>
              <w:rPr>
                <w:rFonts w:ascii="仿宋" w:hAnsi="仿宋" w:eastAsia="仿宋" w:cs="仿宋_GB2312"/>
                <w:b/>
                <w:sz w:val="24"/>
                <w:szCs w:val="22"/>
              </w:rPr>
            </w:pPr>
            <w:r>
              <w:rPr>
                <w:rFonts w:hint="eastAsia" w:ascii="仿宋" w:hAnsi="仿宋" w:eastAsia="仿宋" w:cs="黑体"/>
                <w:bCs/>
                <w:sz w:val="28"/>
                <w:szCs w:val="28"/>
              </w:rPr>
              <w:t>二、联系方式</w:t>
            </w:r>
          </w:p>
        </w:tc>
      </w:tr>
      <w:tr w14:paraId="6C5E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63" w:type="dxa"/>
            <w:vMerge w:val="restart"/>
            <w:tcBorders>
              <w:top w:val="single" w:color="auto" w:sz="4" w:space="0"/>
              <w:left w:val="single" w:color="auto" w:sz="4" w:space="0"/>
              <w:bottom w:val="single" w:color="auto" w:sz="4" w:space="0"/>
              <w:right w:val="single" w:color="auto" w:sz="4" w:space="0"/>
            </w:tcBorders>
            <w:noWrap w:val="0"/>
            <w:vAlign w:val="center"/>
          </w:tcPr>
          <w:p w14:paraId="0DB003DC">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联系单位</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46961016">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名称</w:t>
            </w:r>
          </w:p>
        </w:tc>
        <w:tc>
          <w:tcPr>
            <w:tcW w:w="5070" w:type="dxa"/>
            <w:gridSpan w:val="8"/>
            <w:tcBorders>
              <w:top w:val="single" w:color="auto" w:sz="4" w:space="0"/>
              <w:left w:val="single" w:color="auto" w:sz="4" w:space="0"/>
              <w:bottom w:val="single" w:color="auto" w:sz="4" w:space="0"/>
              <w:right w:val="single" w:color="auto" w:sz="4" w:space="0"/>
            </w:tcBorders>
            <w:noWrap w:val="0"/>
            <w:vAlign w:val="center"/>
          </w:tcPr>
          <w:p w14:paraId="5C227DC4">
            <w:pPr>
              <w:suppressAutoHyphens/>
              <w:bidi w:val="0"/>
              <w:jc w:val="center"/>
              <w:rPr>
                <w:rFonts w:ascii="仿宋" w:hAnsi="仿宋" w:eastAsia="仿宋" w:cs="仿宋_GB2312"/>
                <w:bCs/>
                <w:sz w:val="24"/>
                <w:szCs w:val="22"/>
              </w:rPr>
            </w:pPr>
          </w:p>
        </w:tc>
      </w:tr>
      <w:tr w14:paraId="198A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63" w:type="dxa"/>
            <w:vMerge w:val="continue"/>
            <w:tcBorders>
              <w:top w:val="single" w:color="auto" w:sz="4" w:space="0"/>
              <w:left w:val="single" w:color="auto" w:sz="4" w:space="0"/>
              <w:bottom w:val="single" w:color="auto" w:sz="4" w:space="0"/>
              <w:right w:val="single" w:color="auto" w:sz="4" w:space="0"/>
            </w:tcBorders>
            <w:noWrap w:val="0"/>
            <w:vAlign w:val="center"/>
          </w:tcPr>
          <w:p w14:paraId="6B16C68F">
            <w:pPr>
              <w:widowControl/>
              <w:suppressAutoHyphens/>
              <w:bidi w:val="0"/>
              <w:jc w:val="left"/>
              <w:rPr>
                <w:rFonts w:ascii="仿宋" w:hAnsi="仿宋" w:eastAsia="仿宋" w:cs="仿宋_GB2312"/>
                <w:bCs/>
                <w:sz w:val="24"/>
                <w:szCs w:val="22"/>
              </w:rPr>
            </w:pPr>
          </w:p>
        </w:tc>
        <w:tc>
          <w:tcPr>
            <w:tcW w:w="1689" w:type="dxa"/>
            <w:tcBorders>
              <w:top w:val="single" w:color="auto" w:sz="4" w:space="0"/>
              <w:left w:val="single" w:color="auto" w:sz="4" w:space="0"/>
              <w:bottom w:val="single" w:color="auto" w:sz="4" w:space="0"/>
              <w:right w:val="single" w:color="auto" w:sz="4" w:space="0"/>
            </w:tcBorders>
            <w:noWrap w:val="0"/>
            <w:vAlign w:val="center"/>
          </w:tcPr>
          <w:p w14:paraId="5DC841FF">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地址</w:t>
            </w:r>
          </w:p>
        </w:tc>
        <w:tc>
          <w:tcPr>
            <w:tcW w:w="5070" w:type="dxa"/>
            <w:gridSpan w:val="8"/>
            <w:tcBorders>
              <w:top w:val="single" w:color="auto" w:sz="4" w:space="0"/>
              <w:left w:val="single" w:color="auto" w:sz="4" w:space="0"/>
              <w:bottom w:val="single" w:color="auto" w:sz="4" w:space="0"/>
              <w:right w:val="single" w:color="auto" w:sz="4" w:space="0"/>
            </w:tcBorders>
            <w:noWrap w:val="0"/>
            <w:vAlign w:val="center"/>
          </w:tcPr>
          <w:p w14:paraId="13A563D3">
            <w:pPr>
              <w:suppressAutoHyphens/>
              <w:bidi w:val="0"/>
              <w:jc w:val="center"/>
              <w:rPr>
                <w:rFonts w:ascii="仿宋" w:hAnsi="仿宋" w:eastAsia="仿宋" w:cs="仿宋_GB2312"/>
                <w:bCs/>
                <w:sz w:val="24"/>
                <w:szCs w:val="22"/>
              </w:rPr>
            </w:pPr>
          </w:p>
        </w:tc>
      </w:tr>
      <w:tr w14:paraId="52DE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63" w:type="dxa"/>
            <w:vMerge w:val="restart"/>
            <w:tcBorders>
              <w:top w:val="single" w:color="auto" w:sz="4" w:space="0"/>
              <w:left w:val="single" w:color="auto" w:sz="4" w:space="0"/>
              <w:bottom w:val="single" w:color="auto" w:sz="4" w:space="0"/>
              <w:right w:val="single" w:color="auto" w:sz="4" w:space="0"/>
            </w:tcBorders>
            <w:noWrap w:val="0"/>
            <w:vAlign w:val="center"/>
          </w:tcPr>
          <w:p w14:paraId="3A7019D1">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联系人</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164A7A05">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姓名</w:t>
            </w:r>
          </w:p>
        </w:tc>
        <w:tc>
          <w:tcPr>
            <w:tcW w:w="1689" w:type="dxa"/>
            <w:gridSpan w:val="3"/>
            <w:tcBorders>
              <w:top w:val="single" w:color="auto" w:sz="4" w:space="0"/>
              <w:left w:val="single" w:color="auto" w:sz="4" w:space="0"/>
              <w:bottom w:val="single" w:color="auto" w:sz="4" w:space="0"/>
              <w:right w:val="single" w:color="auto" w:sz="4" w:space="0"/>
            </w:tcBorders>
            <w:noWrap w:val="0"/>
            <w:vAlign w:val="center"/>
          </w:tcPr>
          <w:p w14:paraId="73DD557B">
            <w:pPr>
              <w:suppressAutoHyphens/>
              <w:bidi w:val="0"/>
              <w:jc w:val="center"/>
              <w:rPr>
                <w:rFonts w:ascii="仿宋" w:hAnsi="仿宋" w:eastAsia="仿宋" w:cs="仿宋_GB2312"/>
                <w:bCs/>
                <w:sz w:val="24"/>
                <w:szCs w:val="22"/>
              </w:rPr>
            </w:pPr>
          </w:p>
        </w:tc>
        <w:tc>
          <w:tcPr>
            <w:tcW w:w="1689" w:type="dxa"/>
            <w:gridSpan w:val="3"/>
            <w:tcBorders>
              <w:top w:val="single" w:color="auto" w:sz="4" w:space="0"/>
              <w:left w:val="single" w:color="auto" w:sz="4" w:space="0"/>
              <w:bottom w:val="single" w:color="auto" w:sz="4" w:space="0"/>
              <w:right w:val="single" w:color="auto" w:sz="4" w:space="0"/>
            </w:tcBorders>
            <w:noWrap w:val="0"/>
            <w:vAlign w:val="center"/>
          </w:tcPr>
          <w:p w14:paraId="7700E837">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职务</w:t>
            </w:r>
          </w:p>
        </w:tc>
        <w:tc>
          <w:tcPr>
            <w:tcW w:w="1692" w:type="dxa"/>
            <w:gridSpan w:val="2"/>
            <w:tcBorders>
              <w:top w:val="single" w:color="auto" w:sz="4" w:space="0"/>
              <w:left w:val="single" w:color="auto" w:sz="4" w:space="0"/>
              <w:bottom w:val="single" w:color="auto" w:sz="4" w:space="0"/>
              <w:right w:val="single" w:color="auto" w:sz="4" w:space="0"/>
            </w:tcBorders>
            <w:noWrap w:val="0"/>
            <w:vAlign w:val="center"/>
          </w:tcPr>
          <w:p w14:paraId="53E5A4A9">
            <w:pPr>
              <w:suppressAutoHyphens/>
              <w:bidi w:val="0"/>
              <w:rPr>
                <w:rFonts w:ascii="仿宋" w:hAnsi="仿宋" w:eastAsia="仿宋" w:cs="仿宋_GB2312"/>
                <w:b/>
                <w:sz w:val="24"/>
                <w:szCs w:val="22"/>
              </w:rPr>
            </w:pPr>
          </w:p>
        </w:tc>
      </w:tr>
      <w:tr w14:paraId="7B999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63" w:type="dxa"/>
            <w:vMerge w:val="continue"/>
            <w:tcBorders>
              <w:top w:val="single" w:color="auto" w:sz="4" w:space="0"/>
              <w:left w:val="single" w:color="auto" w:sz="4" w:space="0"/>
              <w:bottom w:val="single" w:color="auto" w:sz="4" w:space="0"/>
              <w:right w:val="single" w:color="auto" w:sz="4" w:space="0"/>
            </w:tcBorders>
            <w:noWrap w:val="0"/>
            <w:vAlign w:val="center"/>
          </w:tcPr>
          <w:p w14:paraId="19ADA544">
            <w:pPr>
              <w:widowControl/>
              <w:suppressAutoHyphens/>
              <w:bidi w:val="0"/>
              <w:jc w:val="left"/>
              <w:rPr>
                <w:rFonts w:ascii="仿宋" w:hAnsi="仿宋" w:eastAsia="仿宋" w:cs="仿宋_GB2312"/>
                <w:bCs/>
                <w:sz w:val="24"/>
                <w:szCs w:val="22"/>
              </w:rPr>
            </w:pPr>
          </w:p>
        </w:tc>
        <w:tc>
          <w:tcPr>
            <w:tcW w:w="1689" w:type="dxa"/>
            <w:tcBorders>
              <w:top w:val="single" w:color="auto" w:sz="4" w:space="0"/>
              <w:left w:val="single" w:color="auto" w:sz="4" w:space="0"/>
              <w:bottom w:val="single" w:color="auto" w:sz="4" w:space="0"/>
              <w:right w:val="single" w:color="auto" w:sz="4" w:space="0"/>
            </w:tcBorders>
            <w:noWrap w:val="0"/>
            <w:vAlign w:val="center"/>
          </w:tcPr>
          <w:p w14:paraId="1F8A925B">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电话</w:t>
            </w:r>
          </w:p>
        </w:tc>
        <w:tc>
          <w:tcPr>
            <w:tcW w:w="1689" w:type="dxa"/>
            <w:gridSpan w:val="3"/>
            <w:tcBorders>
              <w:top w:val="single" w:color="auto" w:sz="4" w:space="0"/>
              <w:left w:val="single" w:color="auto" w:sz="4" w:space="0"/>
              <w:bottom w:val="single" w:color="auto" w:sz="4" w:space="0"/>
              <w:right w:val="single" w:color="auto" w:sz="4" w:space="0"/>
            </w:tcBorders>
            <w:noWrap w:val="0"/>
            <w:vAlign w:val="center"/>
          </w:tcPr>
          <w:p w14:paraId="7A9AF0EF">
            <w:pPr>
              <w:suppressAutoHyphens/>
              <w:bidi w:val="0"/>
              <w:jc w:val="center"/>
              <w:rPr>
                <w:rFonts w:ascii="仿宋" w:hAnsi="仿宋" w:eastAsia="仿宋" w:cs="仿宋_GB2312"/>
                <w:bCs/>
                <w:sz w:val="24"/>
                <w:szCs w:val="22"/>
              </w:rPr>
            </w:pPr>
          </w:p>
        </w:tc>
        <w:tc>
          <w:tcPr>
            <w:tcW w:w="1689" w:type="dxa"/>
            <w:gridSpan w:val="3"/>
            <w:tcBorders>
              <w:top w:val="single" w:color="auto" w:sz="4" w:space="0"/>
              <w:left w:val="single" w:color="auto" w:sz="4" w:space="0"/>
              <w:bottom w:val="single" w:color="auto" w:sz="4" w:space="0"/>
              <w:right w:val="single" w:color="auto" w:sz="4" w:space="0"/>
            </w:tcBorders>
            <w:noWrap w:val="0"/>
            <w:vAlign w:val="center"/>
          </w:tcPr>
          <w:p w14:paraId="50A5D99B">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手机</w:t>
            </w:r>
          </w:p>
        </w:tc>
        <w:tc>
          <w:tcPr>
            <w:tcW w:w="1692" w:type="dxa"/>
            <w:gridSpan w:val="2"/>
            <w:tcBorders>
              <w:top w:val="single" w:color="auto" w:sz="4" w:space="0"/>
              <w:left w:val="single" w:color="auto" w:sz="4" w:space="0"/>
              <w:bottom w:val="single" w:color="auto" w:sz="4" w:space="0"/>
              <w:right w:val="single" w:color="auto" w:sz="4" w:space="0"/>
            </w:tcBorders>
            <w:noWrap w:val="0"/>
            <w:vAlign w:val="center"/>
          </w:tcPr>
          <w:p w14:paraId="4BB2DFB2">
            <w:pPr>
              <w:suppressAutoHyphens/>
              <w:bidi w:val="0"/>
              <w:rPr>
                <w:rFonts w:ascii="仿宋" w:hAnsi="仿宋" w:eastAsia="仿宋" w:cs="仿宋_GB2312"/>
                <w:b/>
                <w:sz w:val="24"/>
                <w:szCs w:val="22"/>
              </w:rPr>
            </w:pPr>
          </w:p>
        </w:tc>
      </w:tr>
      <w:tr w14:paraId="6331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63" w:type="dxa"/>
            <w:vMerge w:val="continue"/>
            <w:tcBorders>
              <w:top w:val="single" w:color="auto" w:sz="4" w:space="0"/>
              <w:left w:val="single" w:color="auto" w:sz="4" w:space="0"/>
              <w:bottom w:val="single" w:color="auto" w:sz="4" w:space="0"/>
              <w:right w:val="single" w:color="auto" w:sz="4" w:space="0"/>
            </w:tcBorders>
            <w:noWrap w:val="0"/>
            <w:vAlign w:val="center"/>
          </w:tcPr>
          <w:p w14:paraId="3F64E0CF">
            <w:pPr>
              <w:widowControl/>
              <w:suppressAutoHyphens/>
              <w:bidi w:val="0"/>
              <w:jc w:val="left"/>
              <w:rPr>
                <w:rFonts w:ascii="仿宋" w:hAnsi="仿宋" w:eastAsia="仿宋" w:cs="仿宋_GB2312"/>
                <w:bCs/>
                <w:sz w:val="24"/>
                <w:szCs w:val="22"/>
              </w:rPr>
            </w:pPr>
          </w:p>
        </w:tc>
        <w:tc>
          <w:tcPr>
            <w:tcW w:w="1689" w:type="dxa"/>
            <w:tcBorders>
              <w:top w:val="single" w:color="auto" w:sz="4" w:space="0"/>
              <w:left w:val="single" w:color="auto" w:sz="4" w:space="0"/>
              <w:bottom w:val="single" w:color="auto" w:sz="4" w:space="0"/>
              <w:right w:val="single" w:color="auto" w:sz="4" w:space="0"/>
            </w:tcBorders>
            <w:noWrap w:val="0"/>
            <w:vAlign w:val="center"/>
          </w:tcPr>
          <w:p w14:paraId="46EE72C0">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电子邮箱</w:t>
            </w:r>
          </w:p>
        </w:tc>
        <w:tc>
          <w:tcPr>
            <w:tcW w:w="1689" w:type="dxa"/>
            <w:gridSpan w:val="3"/>
            <w:tcBorders>
              <w:top w:val="single" w:color="auto" w:sz="4" w:space="0"/>
              <w:left w:val="single" w:color="auto" w:sz="4" w:space="0"/>
              <w:bottom w:val="single" w:color="auto" w:sz="4" w:space="0"/>
              <w:right w:val="single" w:color="auto" w:sz="4" w:space="0"/>
            </w:tcBorders>
            <w:noWrap w:val="0"/>
            <w:vAlign w:val="center"/>
          </w:tcPr>
          <w:p w14:paraId="2BFB0EB8">
            <w:pPr>
              <w:suppressAutoHyphens/>
              <w:bidi w:val="0"/>
              <w:jc w:val="center"/>
              <w:rPr>
                <w:rFonts w:ascii="仿宋" w:hAnsi="仿宋" w:eastAsia="仿宋" w:cs="仿宋_GB2312"/>
                <w:bCs/>
                <w:sz w:val="24"/>
                <w:szCs w:val="22"/>
              </w:rPr>
            </w:pPr>
          </w:p>
        </w:tc>
        <w:tc>
          <w:tcPr>
            <w:tcW w:w="1689" w:type="dxa"/>
            <w:gridSpan w:val="3"/>
            <w:tcBorders>
              <w:top w:val="single" w:color="auto" w:sz="4" w:space="0"/>
              <w:left w:val="single" w:color="auto" w:sz="4" w:space="0"/>
              <w:bottom w:val="single" w:color="auto" w:sz="4" w:space="0"/>
              <w:right w:val="single" w:color="auto" w:sz="4" w:space="0"/>
            </w:tcBorders>
            <w:noWrap w:val="0"/>
            <w:vAlign w:val="center"/>
          </w:tcPr>
          <w:p w14:paraId="29C84029">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传真</w:t>
            </w:r>
          </w:p>
        </w:tc>
        <w:tc>
          <w:tcPr>
            <w:tcW w:w="1692" w:type="dxa"/>
            <w:gridSpan w:val="2"/>
            <w:tcBorders>
              <w:top w:val="single" w:color="auto" w:sz="4" w:space="0"/>
              <w:left w:val="single" w:color="auto" w:sz="4" w:space="0"/>
              <w:bottom w:val="single" w:color="auto" w:sz="4" w:space="0"/>
              <w:right w:val="single" w:color="auto" w:sz="4" w:space="0"/>
            </w:tcBorders>
            <w:noWrap w:val="0"/>
            <w:vAlign w:val="center"/>
          </w:tcPr>
          <w:p w14:paraId="41DC99FE">
            <w:pPr>
              <w:suppressAutoHyphens/>
              <w:bidi w:val="0"/>
              <w:rPr>
                <w:rFonts w:ascii="仿宋" w:hAnsi="仿宋" w:eastAsia="仿宋" w:cs="仿宋_GB2312"/>
                <w:b/>
                <w:sz w:val="24"/>
                <w:szCs w:val="22"/>
              </w:rPr>
            </w:pPr>
          </w:p>
        </w:tc>
      </w:tr>
      <w:tr w14:paraId="077E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0"/>
            <w:tcBorders>
              <w:top w:val="single" w:color="auto" w:sz="4" w:space="0"/>
              <w:left w:val="single" w:color="auto" w:sz="4" w:space="0"/>
              <w:bottom w:val="single" w:color="auto" w:sz="4" w:space="0"/>
              <w:right w:val="single" w:color="auto" w:sz="4" w:space="0"/>
            </w:tcBorders>
            <w:noWrap w:val="0"/>
            <w:vAlign w:val="center"/>
          </w:tcPr>
          <w:p w14:paraId="1501FE07">
            <w:pPr>
              <w:suppressAutoHyphens/>
              <w:bidi w:val="0"/>
              <w:snapToGrid w:val="0"/>
              <w:rPr>
                <w:rFonts w:ascii="仿宋" w:hAnsi="仿宋" w:eastAsia="仿宋" w:cs="黑体"/>
                <w:bCs/>
                <w:sz w:val="28"/>
                <w:szCs w:val="28"/>
              </w:rPr>
            </w:pPr>
            <w:r>
              <w:rPr>
                <w:rFonts w:hint="eastAsia" w:ascii="仿宋" w:hAnsi="仿宋" w:eastAsia="仿宋" w:cs="黑体"/>
                <w:bCs/>
                <w:sz w:val="28"/>
                <w:szCs w:val="28"/>
              </w:rPr>
              <w:t>三、本地装配式建筑发展简要情况（包括基本情况、规划目标、主要措施等，限300字）</w:t>
            </w:r>
          </w:p>
          <w:p w14:paraId="54F45488">
            <w:pPr>
              <w:suppressAutoHyphens/>
              <w:bidi w:val="0"/>
              <w:rPr>
                <w:rFonts w:ascii="仿宋" w:hAnsi="仿宋" w:eastAsia="仿宋" w:cs="仿宋_GB2312"/>
                <w:b/>
                <w:sz w:val="24"/>
                <w:szCs w:val="22"/>
              </w:rPr>
            </w:pPr>
          </w:p>
          <w:p w14:paraId="3A3866F8">
            <w:pPr>
              <w:suppressAutoHyphens/>
              <w:bidi w:val="0"/>
              <w:rPr>
                <w:rFonts w:ascii="仿宋" w:hAnsi="仿宋" w:eastAsia="仿宋" w:cs="仿宋_GB2312"/>
                <w:b/>
                <w:sz w:val="24"/>
                <w:szCs w:val="22"/>
              </w:rPr>
            </w:pPr>
          </w:p>
          <w:p w14:paraId="14C85FF5">
            <w:pPr>
              <w:suppressAutoHyphens/>
              <w:bidi w:val="0"/>
              <w:rPr>
                <w:rFonts w:ascii="仿宋" w:hAnsi="仿宋" w:eastAsia="仿宋" w:cs="仿宋_GB2312"/>
                <w:b/>
                <w:sz w:val="24"/>
                <w:szCs w:val="22"/>
              </w:rPr>
            </w:pPr>
          </w:p>
          <w:p w14:paraId="4B8999F3">
            <w:pPr>
              <w:suppressAutoHyphens/>
              <w:bidi w:val="0"/>
              <w:rPr>
                <w:rFonts w:ascii="仿宋" w:hAnsi="仿宋" w:eastAsia="仿宋" w:cs="仿宋_GB2312"/>
                <w:b/>
                <w:sz w:val="24"/>
                <w:szCs w:val="22"/>
              </w:rPr>
            </w:pPr>
          </w:p>
          <w:p w14:paraId="19996464">
            <w:pPr>
              <w:suppressAutoHyphens/>
              <w:bidi w:val="0"/>
              <w:rPr>
                <w:rFonts w:ascii="仿宋" w:hAnsi="仿宋" w:eastAsia="仿宋" w:cs="仿宋_GB2312"/>
                <w:b/>
                <w:sz w:val="24"/>
                <w:szCs w:val="22"/>
              </w:rPr>
            </w:pPr>
          </w:p>
          <w:p w14:paraId="427EBCF2">
            <w:pPr>
              <w:suppressAutoHyphens/>
              <w:bidi w:val="0"/>
              <w:rPr>
                <w:rFonts w:ascii="仿宋" w:hAnsi="仿宋" w:eastAsia="仿宋" w:cs="仿宋_GB2312"/>
                <w:b/>
                <w:sz w:val="24"/>
                <w:szCs w:val="22"/>
              </w:rPr>
            </w:pPr>
          </w:p>
          <w:p w14:paraId="4BAE51E5">
            <w:pPr>
              <w:suppressAutoHyphens/>
              <w:bidi w:val="0"/>
              <w:rPr>
                <w:rFonts w:ascii="仿宋" w:hAnsi="仿宋" w:eastAsia="仿宋" w:cs="仿宋_GB2312"/>
                <w:b/>
                <w:sz w:val="24"/>
                <w:szCs w:val="22"/>
              </w:rPr>
            </w:pPr>
          </w:p>
          <w:p w14:paraId="0170F38D">
            <w:pPr>
              <w:suppressAutoHyphens/>
              <w:bidi w:val="0"/>
              <w:rPr>
                <w:rFonts w:ascii="仿宋" w:hAnsi="仿宋" w:eastAsia="仿宋" w:cs="仿宋_GB2312"/>
                <w:b/>
                <w:sz w:val="24"/>
                <w:szCs w:val="22"/>
              </w:rPr>
            </w:pPr>
          </w:p>
          <w:p w14:paraId="35C5DF3C">
            <w:pPr>
              <w:suppressAutoHyphens/>
              <w:bidi w:val="0"/>
              <w:rPr>
                <w:rFonts w:ascii="仿宋" w:hAnsi="仿宋" w:eastAsia="仿宋" w:cs="仿宋_GB2312"/>
                <w:b/>
                <w:sz w:val="24"/>
                <w:szCs w:val="22"/>
              </w:rPr>
            </w:pPr>
          </w:p>
          <w:p w14:paraId="1B30FFF4">
            <w:pPr>
              <w:suppressAutoHyphens/>
              <w:bidi w:val="0"/>
              <w:rPr>
                <w:rFonts w:ascii="仿宋" w:hAnsi="仿宋" w:eastAsia="仿宋" w:cs="仿宋_GB2312"/>
                <w:b/>
                <w:sz w:val="24"/>
                <w:szCs w:val="22"/>
              </w:rPr>
            </w:pPr>
          </w:p>
          <w:p w14:paraId="0B844520">
            <w:pPr>
              <w:suppressAutoHyphens/>
              <w:bidi w:val="0"/>
              <w:rPr>
                <w:rFonts w:ascii="仿宋" w:hAnsi="仿宋" w:eastAsia="仿宋" w:cs="仿宋_GB2312"/>
                <w:b/>
                <w:sz w:val="24"/>
                <w:szCs w:val="22"/>
              </w:rPr>
            </w:pPr>
          </w:p>
          <w:p w14:paraId="7941D514">
            <w:pPr>
              <w:suppressAutoHyphens/>
              <w:bidi w:val="0"/>
              <w:rPr>
                <w:rFonts w:ascii="仿宋" w:hAnsi="仿宋" w:eastAsia="仿宋" w:cs="仿宋_GB2312"/>
                <w:b/>
                <w:sz w:val="24"/>
                <w:szCs w:val="22"/>
              </w:rPr>
            </w:pPr>
          </w:p>
          <w:p w14:paraId="002D9E32">
            <w:pPr>
              <w:suppressAutoHyphens/>
              <w:bidi w:val="0"/>
              <w:rPr>
                <w:rFonts w:ascii="仿宋" w:hAnsi="仿宋" w:eastAsia="仿宋" w:cs="仿宋_GB2312"/>
                <w:b/>
                <w:sz w:val="24"/>
                <w:szCs w:val="22"/>
              </w:rPr>
            </w:pPr>
          </w:p>
          <w:p w14:paraId="1AAA19B0">
            <w:pPr>
              <w:suppressAutoHyphens/>
              <w:bidi w:val="0"/>
              <w:rPr>
                <w:rFonts w:ascii="仿宋" w:hAnsi="仿宋" w:eastAsia="仿宋" w:cs="仿宋_GB2312"/>
                <w:b/>
                <w:sz w:val="24"/>
                <w:szCs w:val="22"/>
              </w:rPr>
            </w:pPr>
          </w:p>
        </w:tc>
      </w:tr>
      <w:tr w14:paraId="4BCB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2" w:hRule="atLeast"/>
        </w:trPr>
        <w:tc>
          <w:tcPr>
            <w:tcW w:w="8522" w:type="dxa"/>
            <w:gridSpan w:val="10"/>
            <w:tcBorders>
              <w:top w:val="single" w:color="auto" w:sz="4" w:space="0"/>
              <w:left w:val="single" w:color="auto" w:sz="4" w:space="0"/>
              <w:bottom w:val="single" w:color="auto" w:sz="4" w:space="0"/>
              <w:right w:val="single" w:color="auto" w:sz="4" w:space="0"/>
            </w:tcBorders>
            <w:noWrap w:val="0"/>
            <w:vAlign w:val="top"/>
          </w:tcPr>
          <w:p w14:paraId="1C8BFA73">
            <w:pPr>
              <w:suppressAutoHyphens/>
              <w:bidi w:val="0"/>
              <w:spacing w:before="60" w:after="60" w:line="480" w:lineRule="auto"/>
              <w:rPr>
                <w:rFonts w:ascii="仿宋" w:hAnsi="仿宋" w:eastAsia="仿宋" w:cs="黑体"/>
                <w:bCs/>
                <w:sz w:val="28"/>
                <w:szCs w:val="36"/>
              </w:rPr>
            </w:pPr>
            <w:r>
              <w:rPr>
                <w:rFonts w:hint="eastAsia" w:ascii="仿宋" w:hAnsi="仿宋" w:eastAsia="仿宋" w:cs="黑体"/>
                <w:bCs/>
                <w:sz w:val="28"/>
                <w:szCs w:val="36"/>
              </w:rPr>
              <w:t>四、申请示范城市（县、区）政府意见：</w:t>
            </w:r>
          </w:p>
          <w:p w14:paraId="586B8D60">
            <w:pPr>
              <w:suppressAutoHyphens/>
              <w:bidi w:val="0"/>
              <w:spacing w:before="60" w:after="60" w:line="480" w:lineRule="auto"/>
              <w:rPr>
                <w:rFonts w:ascii="仿宋" w:hAnsi="仿宋" w:eastAsia="仿宋"/>
                <w:b/>
                <w:sz w:val="28"/>
                <w:szCs w:val="36"/>
              </w:rPr>
            </w:pPr>
          </w:p>
          <w:p w14:paraId="23AD268C">
            <w:pPr>
              <w:suppressAutoHyphens/>
              <w:bidi w:val="0"/>
              <w:rPr>
                <w:rFonts w:ascii="仿宋" w:hAnsi="仿宋" w:eastAsia="仿宋" w:cs="仿宋_GB2312"/>
                <w:b/>
                <w:sz w:val="28"/>
                <w:szCs w:val="36"/>
              </w:rPr>
            </w:pPr>
          </w:p>
          <w:p w14:paraId="4254483E">
            <w:pPr>
              <w:suppressAutoHyphens/>
              <w:bidi w:val="0"/>
              <w:jc w:val="right"/>
              <w:rPr>
                <w:rFonts w:ascii="仿宋" w:hAnsi="仿宋" w:eastAsia="仿宋"/>
                <w:b/>
                <w:sz w:val="28"/>
                <w:szCs w:val="36"/>
              </w:rPr>
            </w:pPr>
            <w:r>
              <w:rPr>
                <w:rFonts w:hint="eastAsia" w:ascii="仿宋" w:hAnsi="仿宋" w:eastAsia="仿宋" w:cs="仿宋_GB2312"/>
                <w:b/>
                <w:sz w:val="28"/>
                <w:szCs w:val="36"/>
              </w:rPr>
              <w:t>（单位盖章）    年    月    日</w:t>
            </w:r>
          </w:p>
        </w:tc>
      </w:tr>
      <w:tr w14:paraId="4CBC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8522" w:type="dxa"/>
            <w:gridSpan w:val="10"/>
            <w:tcBorders>
              <w:top w:val="single" w:color="auto" w:sz="4" w:space="0"/>
              <w:left w:val="single" w:color="auto" w:sz="4" w:space="0"/>
              <w:bottom w:val="single" w:color="auto" w:sz="4" w:space="0"/>
              <w:right w:val="single" w:color="auto" w:sz="4" w:space="0"/>
            </w:tcBorders>
            <w:noWrap w:val="0"/>
            <w:vAlign w:val="bottom"/>
          </w:tcPr>
          <w:p w14:paraId="28FAF786">
            <w:pPr>
              <w:suppressAutoHyphens/>
              <w:bidi w:val="0"/>
              <w:spacing w:before="60" w:after="60" w:line="480" w:lineRule="auto"/>
              <w:rPr>
                <w:rFonts w:ascii="仿宋" w:hAnsi="仿宋" w:eastAsia="仿宋" w:cs="黑体"/>
                <w:bCs/>
                <w:sz w:val="28"/>
                <w:szCs w:val="36"/>
              </w:rPr>
            </w:pPr>
            <w:r>
              <w:rPr>
                <w:rFonts w:hint="eastAsia" w:ascii="仿宋" w:hAnsi="仿宋" w:eastAsia="仿宋" w:cs="黑体"/>
                <w:bCs/>
                <w:sz w:val="28"/>
                <w:szCs w:val="36"/>
              </w:rPr>
              <w:t>五、设区市人民政府意见：</w:t>
            </w:r>
          </w:p>
          <w:p w14:paraId="2C261FB6">
            <w:pPr>
              <w:suppressAutoHyphens/>
              <w:bidi w:val="0"/>
              <w:spacing w:before="60" w:after="60" w:line="480" w:lineRule="auto"/>
              <w:jc w:val="right"/>
              <w:rPr>
                <w:rFonts w:ascii="仿宋" w:hAnsi="仿宋" w:eastAsia="仿宋"/>
                <w:b/>
                <w:sz w:val="28"/>
                <w:szCs w:val="36"/>
              </w:rPr>
            </w:pPr>
          </w:p>
          <w:p w14:paraId="48C32BBF">
            <w:pPr>
              <w:suppressAutoHyphens/>
              <w:bidi w:val="0"/>
              <w:spacing w:before="60" w:after="60" w:line="480" w:lineRule="auto"/>
              <w:jc w:val="right"/>
              <w:rPr>
                <w:rFonts w:ascii="仿宋" w:hAnsi="仿宋" w:eastAsia="仿宋"/>
                <w:b/>
                <w:sz w:val="28"/>
                <w:szCs w:val="36"/>
              </w:rPr>
            </w:pPr>
          </w:p>
          <w:p w14:paraId="6D98D76D">
            <w:pPr>
              <w:suppressAutoHyphens/>
              <w:bidi w:val="0"/>
              <w:jc w:val="right"/>
              <w:rPr>
                <w:rFonts w:ascii="仿宋" w:hAnsi="仿宋" w:eastAsia="仿宋"/>
                <w:b/>
                <w:sz w:val="28"/>
                <w:szCs w:val="36"/>
              </w:rPr>
            </w:pPr>
            <w:r>
              <w:rPr>
                <w:rFonts w:hint="eastAsia" w:ascii="仿宋" w:hAnsi="仿宋" w:eastAsia="仿宋"/>
                <w:b/>
                <w:sz w:val="28"/>
                <w:szCs w:val="36"/>
              </w:rPr>
              <w:t>　　　　　　　　</w:t>
            </w:r>
            <w:r>
              <w:rPr>
                <w:rFonts w:hint="eastAsia" w:ascii="仿宋" w:hAnsi="仿宋" w:eastAsia="仿宋" w:cs="仿宋_GB2312"/>
                <w:b/>
                <w:sz w:val="28"/>
                <w:szCs w:val="36"/>
              </w:rPr>
              <w:t>　　</w:t>
            </w:r>
          </w:p>
          <w:p w14:paraId="4253B971">
            <w:pPr>
              <w:suppressAutoHyphens/>
              <w:bidi w:val="0"/>
              <w:jc w:val="right"/>
              <w:rPr>
                <w:rFonts w:ascii="仿宋" w:hAnsi="仿宋" w:eastAsia="仿宋" w:cs="黑体"/>
                <w:bCs/>
                <w:sz w:val="28"/>
                <w:szCs w:val="36"/>
              </w:rPr>
            </w:pPr>
            <w:r>
              <w:rPr>
                <w:rFonts w:hint="eastAsia" w:ascii="仿宋" w:hAnsi="仿宋" w:eastAsia="仿宋" w:cs="仿宋_GB2312"/>
                <w:b/>
                <w:sz w:val="28"/>
                <w:szCs w:val="36"/>
              </w:rPr>
              <w:t>（单位盖章）    年    月    日</w:t>
            </w:r>
          </w:p>
        </w:tc>
      </w:tr>
      <w:tr w14:paraId="5F22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2" w:type="dxa"/>
            <w:gridSpan w:val="10"/>
            <w:tcBorders>
              <w:top w:val="single" w:color="auto" w:sz="4" w:space="0"/>
              <w:left w:val="single" w:color="auto" w:sz="4" w:space="0"/>
              <w:bottom w:val="single" w:color="auto" w:sz="4" w:space="0"/>
              <w:right w:val="single" w:color="auto" w:sz="4" w:space="0"/>
            </w:tcBorders>
            <w:noWrap w:val="0"/>
            <w:vAlign w:val="center"/>
          </w:tcPr>
          <w:p w14:paraId="630C4FF5">
            <w:pPr>
              <w:suppressAutoHyphens/>
              <w:bidi w:val="0"/>
              <w:spacing w:before="60" w:after="60" w:line="480" w:lineRule="auto"/>
              <w:rPr>
                <w:rFonts w:ascii="仿宋" w:hAnsi="仿宋" w:eastAsia="仿宋" w:cs="黑体"/>
                <w:bCs/>
                <w:sz w:val="28"/>
                <w:szCs w:val="36"/>
              </w:rPr>
            </w:pPr>
            <w:r>
              <w:rPr>
                <w:rFonts w:hint="eastAsia" w:ascii="仿宋" w:hAnsi="仿宋" w:eastAsia="仿宋" w:cs="黑体"/>
                <w:bCs/>
                <w:sz w:val="28"/>
                <w:szCs w:val="36"/>
              </w:rPr>
              <w:t>六、省住房城乡建设厅意见：</w:t>
            </w:r>
          </w:p>
          <w:p w14:paraId="3D40AE46">
            <w:pPr>
              <w:suppressAutoHyphens/>
              <w:wordWrap w:val="0"/>
              <w:bidi w:val="0"/>
              <w:spacing w:before="60" w:after="60" w:line="480" w:lineRule="auto"/>
              <w:rPr>
                <w:rFonts w:ascii="仿宋" w:hAnsi="仿宋" w:eastAsia="仿宋" w:cs="仿宋_GB2312"/>
                <w:b/>
                <w:sz w:val="28"/>
                <w:szCs w:val="36"/>
              </w:rPr>
            </w:pPr>
            <w:r>
              <w:rPr>
                <w:rFonts w:hint="eastAsia" w:ascii="仿宋" w:hAnsi="仿宋" w:eastAsia="仿宋" w:cs="仿宋_GB2312"/>
                <w:b/>
                <w:sz w:val="28"/>
                <w:szCs w:val="36"/>
              </w:rPr>
              <w:t xml:space="preserve">                    </w:t>
            </w:r>
          </w:p>
          <w:p w14:paraId="0B16508F">
            <w:pPr>
              <w:suppressAutoHyphens/>
              <w:wordWrap w:val="0"/>
              <w:bidi w:val="0"/>
              <w:spacing w:before="60" w:after="60" w:line="480" w:lineRule="auto"/>
              <w:rPr>
                <w:rFonts w:ascii="仿宋" w:hAnsi="仿宋" w:eastAsia="仿宋" w:cs="仿宋_GB2312"/>
                <w:b/>
                <w:sz w:val="28"/>
                <w:szCs w:val="36"/>
              </w:rPr>
            </w:pPr>
          </w:p>
          <w:p w14:paraId="43254135">
            <w:pPr>
              <w:suppressAutoHyphens/>
              <w:wordWrap w:val="0"/>
              <w:bidi w:val="0"/>
              <w:spacing w:before="60" w:after="60" w:line="480" w:lineRule="auto"/>
              <w:rPr>
                <w:rFonts w:ascii="仿宋" w:hAnsi="仿宋" w:eastAsia="仿宋" w:cs="仿宋_GB2312"/>
                <w:b/>
                <w:sz w:val="28"/>
                <w:szCs w:val="36"/>
              </w:rPr>
            </w:pPr>
          </w:p>
          <w:p w14:paraId="1CB3D31F">
            <w:pPr>
              <w:suppressAutoHyphens/>
              <w:wordWrap w:val="0"/>
              <w:bidi w:val="0"/>
              <w:spacing w:before="60" w:after="60" w:line="480" w:lineRule="auto"/>
              <w:rPr>
                <w:rFonts w:ascii="仿宋" w:hAnsi="仿宋" w:eastAsia="仿宋" w:cs="仿宋_GB2312"/>
                <w:b/>
                <w:sz w:val="28"/>
                <w:szCs w:val="36"/>
              </w:rPr>
            </w:pPr>
          </w:p>
          <w:p w14:paraId="35124C65">
            <w:pPr>
              <w:suppressAutoHyphens/>
              <w:bidi w:val="0"/>
              <w:rPr>
                <w:rFonts w:ascii="仿宋" w:hAnsi="仿宋" w:eastAsia="仿宋" w:cs="仿宋_GB2312"/>
                <w:b/>
                <w:sz w:val="24"/>
                <w:szCs w:val="22"/>
              </w:rPr>
            </w:pPr>
            <w:r>
              <w:rPr>
                <w:rFonts w:hint="eastAsia" w:ascii="仿宋" w:hAnsi="仿宋" w:eastAsia="仿宋" w:cs="仿宋_GB2312"/>
                <w:b/>
                <w:sz w:val="28"/>
                <w:szCs w:val="36"/>
              </w:rPr>
              <w:t xml:space="preserve">                        （单位盖章）    年    月    日 </w:t>
            </w:r>
          </w:p>
          <w:p w14:paraId="6A0CF4B7">
            <w:pPr>
              <w:suppressAutoHyphens/>
              <w:bidi w:val="0"/>
              <w:spacing w:line="500" w:lineRule="exact"/>
              <w:rPr>
                <w:rFonts w:ascii="仿宋" w:hAnsi="仿宋" w:eastAsia="仿宋" w:cs="仿宋_GB2312"/>
                <w:b/>
                <w:sz w:val="28"/>
                <w:szCs w:val="36"/>
              </w:rPr>
            </w:pPr>
          </w:p>
        </w:tc>
      </w:tr>
    </w:tbl>
    <w:p w14:paraId="3D7E55B9">
      <w:pPr>
        <w:widowControl/>
        <w:suppressAutoHyphens/>
        <w:bidi w:val="0"/>
        <w:jc w:val="left"/>
        <w:rPr>
          <w:rFonts w:hint="eastAsia" w:ascii="仿宋" w:hAnsi="仿宋" w:eastAsia="仿宋" w:cs="仿宋"/>
          <w:sz w:val="32"/>
          <w:szCs w:val="32"/>
        </w:rPr>
      </w:pPr>
    </w:p>
    <w:p w14:paraId="4FC36F69">
      <w:pPr>
        <w:widowControl/>
        <w:suppressAutoHyphens/>
        <w:bidi w:val="0"/>
        <w:jc w:val="left"/>
        <w:rPr>
          <w:rFonts w:ascii="仿宋" w:hAnsi="仿宋" w:eastAsia="仿宋" w:cs="方正小标宋简体"/>
          <w:b/>
          <w:bCs/>
          <w:sz w:val="36"/>
          <w:szCs w:val="36"/>
        </w:rPr>
      </w:pPr>
      <w:r>
        <w:rPr>
          <w:rFonts w:hint="eastAsia" w:ascii="仿宋" w:hAnsi="仿宋" w:eastAsia="仿宋" w:cs="仿宋"/>
          <w:sz w:val="32"/>
          <w:szCs w:val="32"/>
        </w:rPr>
        <w:t>附件2：</w:t>
      </w:r>
    </w:p>
    <w:p w14:paraId="3EEBD222">
      <w:pPr>
        <w:widowControl/>
        <w:suppressAutoHyphens/>
        <w:bidi w:val="0"/>
        <w:jc w:val="center"/>
        <w:rPr>
          <w:rFonts w:ascii="仿宋" w:hAnsi="仿宋" w:eastAsia="仿宋" w:cs="方正小标宋简体"/>
          <w:b/>
          <w:bCs/>
          <w:sz w:val="36"/>
          <w:szCs w:val="36"/>
        </w:rPr>
      </w:pPr>
    </w:p>
    <w:p w14:paraId="0408FA0F">
      <w:pPr>
        <w:widowControl/>
        <w:suppressAutoHyphens/>
        <w:bidi w:val="0"/>
        <w:jc w:val="center"/>
        <w:rPr>
          <w:rFonts w:ascii="仿宋" w:hAnsi="仿宋" w:eastAsia="仿宋" w:cs="方正小标宋简体"/>
          <w:b/>
          <w:bCs/>
          <w:sz w:val="36"/>
          <w:szCs w:val="36"/>
        </w:rPr>
      </w:pPr>
      <w:r>
        <w:rPr>
          <w:rFonts w:hint="eastAsia" w:ascii="仿宋" w:hAnsi="仿宋" w:eastAsia="仿宋" w:cs="方正小标宋简体"/>
          <w:b/>
          <w:bCs/>
          <w:sz w:val="36"/>
          <w:szCs w:val="36"/>
        </w:rPr>
        <w:t>辽宁省装配式建筑示范城市实施方案</w:t>
      </w:r>
    </w:p>
    <w:p w14:paraId="47F8202B">
      <w:pPr>
        <w:widowControl/>
        <w:suppressAutoHyphens/>
        <w:bidi w:val="0"/>
        <w:jc w:val="center"/>
        <w:rPr>
          <w:rFonts w:ascii="仿宋" w:hAnsi="仿宋" w:eastAsia="仿宋" w:cs="方正小标宋简体"/>
          <w:b/>
          <w:bCs/>
          <w:sz w:val="36"/>
          <w:szCs w:val="36"/>
        </w:rPr>
      </w:pPr>
      <w:r>
        <w:rPr>
          <w:rFonts w:hint="eastAsia" w:ascii="仿宋" w:hAnsi="仿宋" w:eastAsia="仿宋" w:cs="方正小标宋简体"/>
          <w:b/>
          <w:bCs/>
          <w:sz w:val="36"/>
          <w:szCs w:val="36"/>
        </w:rPr>
        <w:t>（框架）</w:t>
      </w:r>
    </w:p>
    <w:p w14:paraId="03255471">
      <w:pPr>
        <w:widowControl/>
        <w:suppressAutoHyphens/>
        <w:bidi w:val="0"/>
        <w:jc w:val="center"/>
        <w:rPr>
          <w:rFonts w:ascii="仿宋" w:hAnsi="仿宋" w:eastAsia="仿宋" w:cs="方正小标宋简体"/>
          <w:bCs/>
          <w:sz w:val="36"/>
          <w:szCs w:val="36"/>
        </w:rPr>
      </w:pPr>
    </w:p>
    <w:p w14:paraId="3BE006B7">
      <w:pPr>
        <w:numPr>
          <w:ilvl w:val="0"/>
          <w:numId w:val="1"/>
        </w:numPr>
        <w:suppressAutoHyphens/>
        <w:bidi w:val="0"/>
        <w:rPr>
          <w:rFonts w:ascii="仿宋" w:hAnsi="仿宋" w:eastAsia="仿宋"/>
          <w:bCs/>
          <w:sz w:val="30"/>
          <w:szCs w:val="30"/>
        </w:rPr>
      </w:pPr>
      <w:r>
        <w:rPr>
          <w:rFonts w:hint="eastAsia" w:ascii="仿宋" w:hAnsi="仿宋" w:eastAsia="仿宋"/>
          <w:bCs/>
          <w:sz w:val="30"/>
          <w:szCs w:val="30"/>
        </w:rPr>
        <w:t>城市社会经济发展基本情况；</w:t>
      </w:r>
    </w:p>
    <w:p w14:paraId="24CD73E3">
      <w:pPr>
        <w:numPr>
          <w:ilvl w:val="0"/>
          <w:numId w:val="1"/>
        </w:numPr>
        <w:suppressAutoHyphens/>
        <w:bidi w:val="0"/>
        <w:rPr>
          <w:rFonts w:ascii="仿宋" w:hAnsi="仿宋" w:eastAsia="仿宋"/>
          <w:bCs/>
          <w:sz w:val="30"/>
          <w:szCs w:val="30"/>
        </w:rPr>
      </w:pPr>
      <w:r>
        <w:rPr>
          <w:rFonts w:hint="eastAsia" w:ascii="仿宋" w:hAnsi="仿宋" w:eastAsia="仿宋"/>
          <w:bCs/>
          <w:sz w:val="30"/>
          <w:szCs w:val="30"/>
        </w:rPr>
        <w:t>发展装配式建筑的目的、意义和必要性；</w:t>
      </w:r>
    </w:p>
    <w:p w14:paraId="5F652241">
      <w:pPr>
        <w:numPr>
          <w:ilvl w:val="0"/>
          <w:numId w:val="1"/>
        </w:numPr>
        <w:suppressAutoHyphens/>
        <w:bidi w:val="0"/>
        <w:rPr>
          <w:rFonts w:ascii="仿宋" w:hAnsi="仿宋" w:eastAsia="仿宋"/>
          <w:bCs/>
          <w:sz w:val="30"/>
          <w:szCs w:val="30"/>
        </w:rPr>
      </w:pPr>
      <w:r>
        <w:rPr>
          <w:rFonts w:hint="eastAsia" w:ascii="仿宋" w:hAnsi="仿宋" w:eastAsia="仿宋"/>
          <w:bCs/>
          <w:sz w:val="30"/>
          <w:szCs w:val="30"/>
        </w:rPr>
        <w:t>发展装配式建筑的目标和任务；</w:t>
      </w:r>
    </w:p>
    <w:p w14:paraId="23667343">
      <w:pPr>
        <w:numPr>
          <w:ilvl w:val="0"/>
          <w:numId w:val="1"/>
        </w:numPr>
        <w:suppressAutoHyphens/>
        <w:bidi w:val="0"/>
        <w:rPr>
          <w:rFonts w:ascii="仿宋" w:hAnsi="仿宋" w:eastAsia="仿宋"/>
          <w:bCs/>
          <w:sz w:val="30"/>
          <w:szCs w:val="30"/>
        </w:rPr>
      </w:pPr>
      <w:r>
        <w:rPr>
          <w:rFonts w:hint="eastAsia" w:ascii="仿宋" w:hAnsi="仿宋" w:eastAsia="仿宋"/>
          <w:bCs/>
          <w:sz w:val="30"/>
          <w:szCs w:val="30"/>
        </w:rPr>
        <w:t>发展装配式建筑的</w:t>
      </w:r>
      <w:r>
        <w:rPr>
          <w:rFonts w:ascii="仿宋" w:hAnsi="仿宋" w:eastAsia="仿宋"/>
          <w:bCs/>
          <w:sz w:val="30"/>
          <w:szCs w:val="30"/>
        </w:rPr>
        <w:t>计划安排</w:t>
      </w:r>
      <w:r>
        <w:rPr>
          <w:rFonts w:hint="eastAsia" w:ascii="仿宋" w:hAnsi="仿宋" w:eastAsia="仿宋"/>
          <w:bCs/>
          <w:sz w:val="30"/>
          <w:szCs w:val="30"/>
        </w:rPr>
        <w:t>；</w:t>
      </w:r>
    </w:p>
    <w:p w14:paraId="116EA985">
      <w:pPr>
        <w:numPr>
          <w:ilvl w:val="0"/>
          <w:numId w:val="1"/>
        </w:numPr>
        <w:suppressAutoHyphens/>
        <w:bidi w:val="0"/>
        <w:rPr>
          <w:rFonts w:ascii="仿宋" w:hAnsi="仿宋" w:eastAsia="仿宋"/>
          <w:bCs/>
          <w:sz w:val="30"/>
          <w:szCs w:val="30"/>
        </w:rPr>
      </w:pPr>
      <w:r>
        <w:rPr>
          <w:rFonts w:hint="eastAsia" w:ascii="仿宋" w:hAnsi="仿宋" w:eastAsia="仿宋"/>
          <w:bCs/>
          <w:sz w:val="30"/>
          <w:szCs w:val="30"/>
        </w:rPr>
        <w:t>已出台的相关支持政策和标准规范；</w:t>
      </w:r>
    </w:p>
    <w:p w14:paraId="00D6D0AF">
      <w:pPr>
        <w:numPr>
          <w:ilvl w:val="0"/>
          <w:numId w:val="1"/>
        </w:numPr>
        <w:suppressAutoHyphens/>
        <w:bidi w:val="0"/>
        <w:rPr>
          <w:rFonts w:ascii="仿宋" w:hAnsi="仿宋" w:eastAsia="仿宋"/>
          <w:bCs/>
          <w:sz w:val="30"/>
          <w:szCs w:val="30"/>
        </w:rPr>
      </w:pPr>
      <w:r>
        <w:rPr>
          <w:rFonts w:hint="eastAsia" w:ascii="仿宋" w:hAnsi="仿宋" w:eastAsia="仿宋"/>
          <w:bCs/>
          <w:sz w:val="30"/>
          <w:szCs w:val="30"/>
        </w:rPr>
        <w:t>产业发展及配套产业链情况；</w:t>
      </w:r>
    </w:p>
    <w:p w14:paraId="658ACC8B">
      <w:pPr>
        <w:numPr>
          <w:ilvl w:val="0"/>
          <w:numId w:val="1"/>
        </w:numPr>
        <w:suppressAutoHyphens/>
        <w:bidi w:val="0"/>
        <w:rPr>
          <w:rFonts w:ascii="仿宋" w:hAnsi="仿宋" w:eastAsia="仿宋"/>
          <w:bCs/>
          <w:sz w:val="30"/>
          <w:szCs w:val="30"/>
        </w:rPr>
      </w:pPr>
      <w:r>
        <w:rPr>
          <w:rFonts w:hint="eastAsia" w:ascii="仿宋" w:hAnsi="仿宋" w:eastAsia="仿宋"/>
          <w:bCs/>
          <w:sz w:val="30"/>
          <w:szCs w:val="30"/>
        </w:rPr>
        <w:t>装配式建筑工程项目建设情况；</w:t>
      </w:r>
    </w:p>
    <w:p w14:paraId="51671C63">
      <w:pPr>
        <w:numPr>
          <w:ilvl w:val="0"/>
          <w:numId w:val="1"/>
        </w:numPr>
        <w:suppressAutoHyphens/>
        <w:bidi w:val="0"/>
        <w:rPr>
          <w:rFonts w:ascii="仿宋" w:hAnsi="仿宋" w:eastAsia="仿宋"/>
          <w:bCs/>
          <w:sz w:val="30"/>
          <w:szCs w:val="30"/>
        </w:rPr>
      </w:pPr>
      <w:r>
        <w:rPr>
          <w:rFonts w:hint="eastAsia" w:ascii="仿宋" w:hAnsi="仿宋" w:eastAsia="仿宋"/>
          <w:bCs/>
          <w:sz w:val="30"/>
          <w:szCs w:val="30"/>
        </w:rPr>
        <w:t>发展装配式建筑对经济社会环境效益影响分析；</w:t>
      </w:r>
    </w:p>
    <w:p w14:paraId="520F368C">
      <w:pPr>
        <w:numPr>
          <w:ilvl w:val="0"/>
          <w:numId w:val="1"/>
        </w:numPr>
        <w:suppressAutoHyphens/>
        <w:bidi w:val="0"/>
        <w:rPr>
          <w:rFonts w:ascii="仿宋" w:hAnsi="仿宋" w:eastAsia="仿宋"/>
          <w:bCs/>
          <w:sz w:val="30"/>
          <w:szCs w:val="30"/>
        </w:rPr>
      </w:pPr>
      <w:r>
        <w:rPr>
          <w:rFonts w:hint="eastAsia" w:ascii="仿宋" w:hAnsi="仿宋" w:eastAsia="仿宋"/>
          <w:bCs/>
          <w:sz w:val="30"/>
          <w:szCs w:val="30"/>
        </w:rPr>
        <w:t>组织管理；</w:t>
      </w:r>
    </w:p>
    <w:p w14:paraId="545A32FC">
      <w:pPr>
        <w:numPr>
          <w:ilvl w:val="0"/>
          <w:numId w:val="1"/>
        </w:numPr>
        <w:suppressAutoHyphens/>
        <w:bidi w:val="0"/>
        <w:rPr>
          <w:rFonts w:ascii="仿宋" w:hAnsi="仿宋" w:eastAsia="仿宋"/>
          <w:bCs/>
          <w:sz w:val="30"/>
          <w:szCs w:val="30"/>
        </w:rPr>
      </w:pPr>
      <w:r>
        <w:rPr>
          <w:rFonts w:hint="eastAsia" w:ascii="仿宋" w:hAnsi="仿宋" w:eastAsia="仿宋"/>
          <w:bCs/>
          <w:sz w:val="30"/>
          <w:szCs w:val="30"/>
        </w:rPr>
        <w:t>保障措施。</w:t>
      </w:r>
    </w:p>
    <w:p w14:paraId="04E73157">
      <w:pPr>
        <w:suppressAutoHyphens/>
        <w:bidi w:val="0"/>
        <w:ind w:firstLine="645"/>
        <w:rPr>
          <w:rFonts w:ascii="仿宋" w:hAnsi="仿宋" w:eastAsia="仿宋" w:cs="仿宋_GB2312"/>
          <w:kern w:val="0"/>
          <w:sz w:val="32"/>
          <w:szCs w:val="32"/>
        </w:rPr>
      </w:pPr>
    </w:p>
    <w:p w14:paraId="78BEC357">
      <w:pPr>
        <w:suppressAutoHyphens/>
        <w:bidi w:val="0"/>
        <w:jc w:val="center"/>
        <w:rPr>
          <w:rFonts w:eastAsia="宋体"/>
          <w:sz w:val="21"/>
          <w:szCs w:val="22"/>
        </w:rPr>
      </w:pPr>
    </w:p>
    <w:p w14:paraId="657C4B04">
      <w:pPr>
        <w:suppressAutoHyphens/>
        <w:bidi w:val="0"/>
        <w:jc w:val="center"/>
        <w:rPr>
          <w:rFonts w:eastAsia="宋体"/>
          <w:sz w:val="21"/>
          <w:szCs w:val="22"/>
        </w:rPr>
      </w:pPr>
    </w:p>
    <w:p w14:paraId="5DB23446">
      <w:pPr>
        <w:suppressAutoHyphens/>
        <w:bidi w:val="0"/>
        <w:jc w:val="center"/>
        <w:rPr>
          <w:rFonts w:eastAsia="宋体"/>
          <w:sz w:val="21"/>
          <w:szCs w:val="22"/>
        </w:rPr>
      </w:pPr>
    </w:p>
    <w:p w14:paraId="2AD80AF0">
      <w:pPr>
        <w:suppressAutoHyphens/>
        <w:bidi w:val="0"/>
        <w:jc w:val="center"/>
        <w:rPr>
          <w:rFonts w:eastAsia="宋体"/>
          <w:sz w:val="21"/>
          <w:szCs w:val="22"/>
        </w:rPr>
      </w:pPr>
    </w:p>
    <w:p w14:paraId="2C5A2CED">
      <w:pPr>
        <w:suppressAutoHyphens/>
        <w:bidi w:val="0"/>
        <w:jc w:val="center"/>
        <w:rPr>
          <w:rFonts w:eastAsia="宋体"/>
          <w:sz w:val="21"/>
          <w:szCs w:val="22"/>
        </w:rPr>
      </w:pPr>
    </w:p>
    <w:p w14:paraId="771F641C">
      <w:pPr>
        <w:suppressAutoHyphens/>
        <w:bidi w:val="0"/>
        <w:jc w:val="center"/>
        <w:rPr>
          <w:rFonts w:eastAsia="宋体"/>
          <w:sz w:val="21"/>
          <w:szCs w:val="22"/>
        </w:rPr>
      </w:pPr>
    </w:p>
    <w:p w14:paraId="6E2075C0">
      <w:pPr>
        <w:suppressAutoHyphens/>
        <w:bidi w:val="0"/>
        <w:jc w:val="center"/>
        <w:rPr>
          <w:rFonts w:eastAsia="宋体"/>
          <w:sz w:val="21"/>
          <w:szCs w:val="22"/>
        </w:rPr>
      </w:pPr>
    </w:p>
    <w:p w14:paraId="3D41C5A6">
      <w:pPr>
        <w:suppressAutoHyphens/>
        <w:bidi w:val="0"/>
        <w:jc w:val="center"/>
        <w:rPr>
          <w:rFonts w:eastAsia="宋体"/>
          <w:sz w:val="21"/>
          <w:szCs w:val="22"/>
        </w:rPr>
      </w:pPr>
    </w:p>
    <w:p w14:paraId="62A8D7AA">
      <w:pPr>
        <w:suppressAutoHyphens/>
        <w:bidi w:val="0"/>
        <w:jc w:val="center"/>
        <w:rPr>
          <w:rFonts w:eastAsia="宋体"/>
          <w:sz w:val="21"/>
          <w:szCs w:val="22"/>
        </w:rPr>
      </w:pPr>
    </w:p>
    <w:p w14:paraId="73F82834">
      <w:pPr>
        <w:suppressAutoHyphens/>
        <w:bidi w:val="0"/>
        <w:jc w:val="center"/>
        <w:rPr>
          <w:rFonts w:eastAsia="宋体"/>
          <w:sz w:val="21"/>
          <w:szCs w:val="22"/>
        </w:rPr>
      </w:pPr>
    </w:p>
    <w:p w14:paraId="3ACA6111">
      <w:pPr>
        <w:suppressAutoHyphens/>
        <w:bidi w:val="0"/>
        <w:jc w:val="center"/>
        <w:rPr>
          <w:rFonts w:eastAsia="宋体"/>
          <w:sz w:val="21"/>
          <w:szCs w:val="22"/>
        </w:rPr>
      </w:pPr>
    </w:p>
    <w:p w14:paraId="2BB6FD7D">
      <w:pPr>
        <w:suppressAutoHyphens/>
        <w:bidi w:val="0"/>
        <w:jc w:val="center"/>
        <w:rPr>
          <w:rFonts w:eastAsia="宋体"/>
          <w:sz w:val="21"/>
          <w:szCs w:val="22"/>
        </w:rPr>
      </w:pPr>
    </w:p>
    <w:p w14:paraId="6F8329A7">
      <w:pPr>
        <w:suppressAutoHyphens/>
        <w:bidi w:val="0"/>
        <w:jc w:val="left"/>
        <w:rPr>
          <w:rFonts w:ascii="仿宋" w:hAnsi="仿宋" w:eastAsia="仿宋" w:cs="方正小标宋简体"/>
          <w:sz w:val="32"/>
          <w:szCs w:val="32"/>
        </w:rPr>
      </w:pPr>
    </w:p>
    <w:p w14:paraId="6986266C">
      <w:pPr>
        <w:suppressAutoHyphens/>
        <w:bidi w:val="0"/>
        <w:jc w:val="center"/>
        <w:rPr>
          <w:rFonts w:ascii="宋体" w:hAnsi="宋体" w:eastAsia="宋体" w:cs="方正小标宋简体"/>
          <w:b/>
          <w:sz w:val="44"/>
          <w:szCs w:val="44"/>
        </w:rPr>
      </w:pPr>
      <w:r>
        <w:rPr>
          <w:rFonts w:hint="eastAsia" w:ascii="宋体" w:hAnsi="宋体" w:eastAsia="宋体" w:cs="方正小标宋简体"/>
          <w:b/>
          <w:sz w:val="44"/>
          <w:szCs w:val="44"/>
        </w:rPr>
        <w:t>辽宁省装配式建筑产业基地管理办法</w:t>
      </w:r>
    </w:p>
    <w:p w14:paraId="1DA381FB">
      <w:pPr>
        <w:keepNext w:val="0"/>
        <w:keepLines w:val="0"/>
        <w:widowControl w:val="0"/>
        <w:snapToGrid w:val="0"/>
        <w:spacing w:before="0" w:after="0" w:line="360" w:lineRule="auto"/>
        <w:jc w:val="center"/>
        <w:outlineLvl w:val="0"/>
        <w:rPr>
          <w:rFonts w:ascii="黑体" w:hAnsi="黑体" w:eastAsia="黑体" w:cs="黑体"/>
          <w:b w:val="0"/>
          <w:bCs/>
          <w:kern w:val="44"/>
          <w:sz w:val="32"/>
          <w:szCs w:val="32"/>
          <w:lang w:val="en-US" w:eastAsia="zh-CN" w:bidi="ar-SA"/>
        </w:rPr>
      </w:pPr>
    </w:p>
    <w:p w14:paraId="6F4F4B5D">
      <w:pPr>
        <w:keepNext w:val="0"/>
        <w:keepLines w:val="0"/>
        <w:widowControl w:val="0"/>
        <w:snapToGrid w:val="0"/>
        <w:spacing w:before="0" w:after="0" w:line="360" w:lineRule="auto"/>
        <w:jc w:val="center"/>
        <w:outlineLvl w:val="0"/>
        <w:rPr>
          <w:rFonts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第一章　总　　则</w:t>
      </w:r>
    </w:p>
    <w:p w14:paraId="3390AEC8">
      <w:pPr>
        <w:suppressAutoHyphens/>
        <w:bidi w:val="0"/>
        <w:snapToGrid w:val="0"/>
        <w:spacing w:line="360" w:lineRule="auto"/>
        <w:ind w:firstLine="643" w:firstLineChars="200"/>
        <w:rPr>
          <w:rFonts w:ascii="仿宋" w:hAnsi="仿宋" w:eastAsia="仿宋" w:cs="Arial"/>
          <w:kern w:val="0"/>
          <w:sz w:val="32"/>
          <w:szCs w:val="32"/>
        </w:rPr>
      </w:pPr>
      <w:r>
        <w:rPr>
          <w:rFonts w:hint="eastAsia" w:ascii="仿宋" w:hAnsi="仿宋" w:eastAsia="仿宋" w:cs="Arial"/>
          <w:b/>
          <w:kern w:val="0"/>
          <w:sz w:val="32"/>
          <w:szCs w:val="32"/>
        </w:rPr>
        <w:t>第一条　</w:t>
      </w:r>
      <w:r>
        <w:rPr>
          <w:rFonts w:hint="eastAsia" w:ascii="仿宋" w:hAnsi="仿宋" w:eastAsia="仿宋" w:cs="Arial"/>
          <w:kern w:val="0"/>
          <w:sz w:val="32"/>
          <w:szCs w:val="32"/>
        </w:rPr>
        <w:t>为贯彻落实国家和省关于</w:t>
      </w:r>
      <w:r>
        <w:rPr>
          <w:rFonts w:hint="eastAsia" w:ascii="仿宋" w:hAnsi="仿宋" w:eastAsia="仿宋" w:cs="Arial"/>
          <w:sz w:val="32"/>
          <w:szCs w:val="32"/>
        </w:rPr>
        <w:t>发展新型建造方式，大力推广装配式建筑的要求，规范</w:t>
      </w:r>
      <w:r>
        <w:rPr>
          <w:rFonts w:hint="eastAsia" w:ascii="仿宋" w:hAnsi="仿宋" w:eastAsia="仿宋" w:cs="Arial"/>
          <w:kern w:val="0"/>
          <w:sz w:val="32"/>
          <w:szCs w:val="32"/>
        </w:rPr>
        <w:t>辽宁省装配式建筑产业基地管理，依据</w:t>
      </w:r>
      <w:r>
        <w:rPr>
          <w:rFonts w:hint="eastAsia" w:ascii="仿宋" w:hAnsi="仿宋" w:eastAsia="仿宋"/>
          <w:sz w:val="32"/>
          <w:szCs w:val="32"/>
        </w:rPr>
        <w:t>住房城乡建设部《装配式建筑产业基地管理办法》和</w:t>
      </w:r>
      <w:r>
        <w:rPr>
          <w:rFonts w:hint="eastAsia" w:ascii="仿宋" w:hAnsi="仿宋" w:eastAsia="仿宋" w:cs="Arial"/>
          <w:kern w:val="0"/>
          <w:sz w:val="32"/>
          <w:szCs w:val="32"/>
        </w:rPr>
        <w:t>有关规定，制定本办法。</w:t>
      </w:r>
    </w:p>
    <w:p w14:paraId="0BEC8052">
      <w:pPr>
        <w:suppressAutoHyphens/>
        <w:bidi w:val="0"/>
        <w:snapToGrid w:val="0"/>
        <w:spacing w:line="360" w:lineRule="auto"/>
        <w:ind w:firstLine="643" w:firstLineChars="200"/>
        <w:rPr>
          <w:rFonts w:ascii="仿宋" w:hAnsi="仿宋" w:eastAsia="仿宋"/>
          <w:sz w:val="32"/>
          <w:szCs w:val="32"/>
        </w:rPr>
      </w:pPr>
      <w:r>
        <w:rPr>
          <w:rFonts w:hint="eastAsia" w:ascii="仿宋" w:hAnsi="仿宋" w:eastAsia="仿宋" w:cs="Arial"/>
          <w:b/>
          <w:kern w:val="0"/>
          <w:sz w:val="32"/>
          <w:szCs w:val="32"/>
        </w:rPr>
        <w:t>第二条　</w:t>
      </w:r>
      <w:r>
        <w:rPr>
          <w:rFonts w:hint="eastAsia" w:ascii="仿宋" w:hAnsi="仿宋" w:eastAsia="仿宋" w:cs="Arial"/>
          <w:sz w:val="32"/>
          <w:szCs w:val="32"/>
        </w:rPr>
        <w:t>辽宁省</w:t>
      </w:r>
      <w:r>
        <w:rPr>
          <w:rFonts w:hint="eastAsia" w:ascii="仿宋" w:hAnsi="仿宋" w:eastAsia="仿宋" w:cs="Arial"/>
          <w:kern w:val="0"/>
          <w:sz w:val="32"/>
          <w:szCs w:val="32"/>
        </w:rPr>
        <w:t>装配式建筑产业基地（以下简称产业基地）是指具有</w:t>
      </w:r>
      <w:r>
        <w:rPr>
          <w:rFonts w:hint="eastAsia" w:ascii="仿宋" w:hAnsi="仿宋" w:eastAsia="仿宋"/>
          <w:sz w:val="32"/>
          <w:szCs w:val="32"/>
        </w:rPr>
        <w:t>明确的发展目标、较好的产业基础、技术先进成熟、研发创新能力强、产业关联度大、注重装配式建筑相关人才培养培训、能够发挥示范引领和带动作用的装配式建筑相关企业，</w:t>
      </w:r>
      <w:r>
        <w:rPr>
          <w:rFonts w:hint="eastAsia" w:ascii="仿宋" w:hAnsi="仿宋" w:eastAsia="仿宋" w:cs="Arial"/>
          <w:kern w:val="0"/>
          <w:sz w:val="32"/>
          <w:szCs w:val="32"/>
        </w:rPr>
        <w:t>主要</w:t>
      </w:r>
      <w:r>
        <w:rPr>
          <w:rFonts w:hint="eastAsia" w:ascii="仿宋" w:hAnsi="仿宋" w:eastAsia="仿宋"/>
          <w:sz w:val="32"/>
          <w:szCs w:val="32"/>
        </w:rPr>
        <w:t>包括装配式建筑设计、部品部件生产、施工、装备制造、科技研发等企业。</w:t>
      </w:r>
    </w:p>
    <w:p w14:paraId="37146472">
      <w:pPr>
        <w:suppressAutoHyphens/>
        <w:bidi w:val="0"/>
        <w:snapToGrid w:val="0"/>
        <w:spacing w:line="360" w:lineRule="auto"/>
        <w:ind w:firstLine="643" w:firstLineChars="200"/>
        <w:rPr>
          <w:rFonts w:hint="eastAsia" w:ascii="黑体" w:hAnsi="黑体" w:eastAsia="黑体" w:cs="黑体"/>
          <w:b w:val="0"/>
          <w:sz w:val="32"/>
          <w:szCs w:val="32"/>
        </w:rPr>
      </w:pPr>
      <w:r>
        <w:rPr>
          <w:rFonts w:hint="eastAsia" w:ascii="仿宋" w:hAnsi="仿宋" w:eastAsia="仿宋" w:cs="Arial"/>
          <w:b/>
          <w:kern w:val="0"/>
          <w:sz w:val="32"/>
          <w:szCs w:val="32"/>
        </w:rPr>
        <w:t>第三条　</w:t>
      </w:r>
      <w:r>
        <w:rPr>
          <w:rFonts w:hint="eastAsia" w:ascii="仿宋" w:hAnsi="仿宋" w:eastAsia="仿宋" w:cs="Arial"/>
          <w:kern w:val="0"/>
          <w:sz w:val="32"/>
          <w:szCs w:val="32"/>
        </w:rPr>
        <w:t>产业基地的申请、评审、认定、发布和监督管理，适用本办法。</w:t>
      </w:r>
    </w:p>
    <w:p w14:paraId="5C192F49">
      <w:pPr>
        <w:keepNext w:val="0"/>
        <w:keepLines w:val="0"/>
        <w:widowControl w:val="0"/>
        <w:snapToGrid w:val="0"/>
        <w:spacing w:before="0" w:after="0" w:line="360" w:lineRule="auto"/>
        <w:jc w:val="center"/>
        <w:outlineLvl w:val="0"/>
        <w:rPr>
          <w:rFonts w:hint="eastAsia" w:ascii="黑体" w:hAnsi="黑体" w:eastAsia="黑体" w:cs="黑体"/>
          <w:b w:val="0"/>
          <w:bCs/>
          <w:kern w:val="44"/>
          <w:sz w:val="32"/>
          <w:szCs w:val="32"/>
          <w:lang w:val="en-US" w:eastAsia="zh-CN" w:bidi="ar-SA"/>
        </w:rPr>
      </w:pPr>
    </w:p>
    <w:p w14:paraId="6ACF9D65">
      <w:pPr>
        <w:keepNext w:val="0"/>
        <w:keepLines w:val="0"/>
        <w:widowControl w:val="0"/>
        <w:snapToGrid w:val="0"/>
        <w:spacing w:before="0" w:after="0" w:line="360" w:lineRule="auto"/>
        <w:jc w:val="center"/>
        <w:outlineLvl w:val="0"/>
        <w:rPr>
          <w:rFonts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第二章　申　　请</w:t>
      </w:r>
    </w:p>
    <w:p w14:paraId="5E08AF66">
      <w:pPr>
        <w:widowControl w:val="0"/>
        <w:snapToGrid w:val="0"/>
        <w:spacing w:line="360" w:lineRule="auto"/>
        <w:ind w:firstLine="643" w:firstLineChars="200"/>
        <w:jc w:val="both"/>
        <w:rPr>
          <w:rFonts w:ascii="仿宋" w:hAnsi="仿宋" w:eastAsia="仿宋" w:cs="Times New Roman"/>
          <w:b/>
          <w:kern w:val="2"/>
          <w:sz w:val="32"/>
          <w:szCs w:val="32"/>
          <w:lang w:val="en-US" w:eastAsia="zh-CN" w:bidi="ar-SA"/>
        </w:rPr>
      </w:pPr>
      <w:r>
        <w:rPr>
          <w:rFonts w:hint="eastAsia" w:ascii="仿宋" w:hAnsi="仿宋" w:eastAsia="仿宋" w:cs="Times New Roman"/>
          <w:b/>
          <w:kern w:val="2"/>
          <w:sz w:val="32"/>
          <w:szCs w:val="32"/>
          <w:lang w:val="en-US" w:eastAsia="zh-CN" w:bidi="ar-SA"/>
        </w:rPr>
        <w:t>第四条　</w:t>
      </w:r>
      <w:r>
        <w:rPr>
          <w:rFonts w:hint="eastAsia" w:ascii="仿宋" w:hAnsi="仿宋" w:eastAsia="仿宋" w:cs="Times New Roman"/>
          <w:bCs/>
          <w:kern w:val="2"/>
          <w:sz w:val="32"/>
          <w:szCs w:val="32"/>
          <w:lang w:val="en-US" w:eastAsia="zh-CN" w:bidi="ar-SA"/>
        </w:rPr>
        <w:t>申请产业基地的企业由各设区市推荐，并向</w:t>
      </w:r>
      <w:r>
        <w:rPr>
          <w:rFonts w:hint="eastAsia" w:ascii="仿宋" w:hAnsi="仿宋" w:eastAsia="仿宋" w:cs="仿宋_GB2312"/>
          <w:kern w:val="0"/>
          <w:sz w:val="32"/>
          <w:szCs w:val="32"/>
          <w:lang w:val="en-US" w:eastAsia="zh-CN" w:bidi="ar-SA"/>
        </w:rPr>
        <w:t>省住房城乡建设厅提出申请。</w:t>
      </w:r>
    </w:p>
    <w:p w14:paraId="229E6658">
      <w:pPr>
        <w:widowControl w:val="0"/>
        <w:snapToGrid w:val="0"/>
        <w:spacing w:line="360" w:lineRule="auto"/>
        <w:ind w:firstLine="643" w:firstLineChars="200"/>
        <w:jc w:val="both"/>
        <w:rPr>
          <w:rFonts w:ascii="仿宋" w:hAnsi="仿宋" w:eastAsia="仿宋" w:cs="Times New Roman"/>
          <w:kern w:val="2"/>
          <w:sz w:val="32"/>
          <w:szCs w:val="32"/>
          <w:lang w:val="en-US" w:eastAsia="zh-CN" w:bidi="ar-SA"/>
        </w:rPr>
      </w:pPr>
      <w:r>
        <w:rPr>
          <w:rFonts w:hint="eastAsia" w:ascii="仿宋" w:hAnsi="仿宋" w:eastAsia="仿宋" w:cs="Times New Roman"/>
          <w:b/>
          <w:kern w:val="2"/>
          <w:sz w:val="32"/>
          <w:szCs w:val="32"/>
          <w:lang w:val="en-US" w:eastAsia="zh-CN" w:bidi="ar-SA"/>
        </w:rPr>
        <w:t>第五条</w:t>
      </w:r>
      <w:r>
        <w:rPr>
          <w:rFonts w:hint="eastAsia" w:ascii="仿宋" w:hAnsi="仿宋" w:eastAsia="仿宋" w:cs="Times New Roman"/>
          <w:kern w:val="2"/>
          <w:sz w:val="32"/>
          <w:szCs w:val="32"/>
          <w:lang w:val="en-US" w:eastAsia="zh-CN" w:bidi="ar-SA"/>
        </w:rPr>
        <w:t>　申请产业基地的企业应符合下列条件：</w:t>
      </w:r>
    </w:p>
    <w:p w14:paraId="4FC97151">
      <w:pPr>
        <w:widowControl w:val="0"/>
        <w:snapToGrid w:val="0"/>
        <w:spacing w:line="360" w:lineRule="auto"/>
        <w:ind w:firstLine="640" w:firstLineChars="200"/>
        <w:jc w:val="both"/>
        <w:rPr>
          <w:rFonts w:ascii="仿宋" w:hAnsi="仿宋" w:eastAsia="仿宋" w:cs="仿宋_GB2312"/>
          <w:kern w:val="0"/>
          <w:sz w:val="32"/>
          <w:szCs w:val="32"/>
          <w:lang w:val="en-US" w:eastAsia="zh-CN" w:bidi="ar-SA"/>
        </w:rPr>
      </w:pPr>
      <w:r>
        <w:rPr>
          <w:rFonts w:hint="eastAsia" w:ascii="仿宋" w:hAnsi="仿宋" w:eastAsia="仿宋" w:cs="仿宋_GB2312"/>
          <w:kern w:val="0"/>
          <w:sz w:val="32"/>
          <w:szCs w:val="32"/>
          <w:lang w:val="en-US" w:eastAsia="zh-CN" w:bidi="ar-SA"/>
        </w:rPr>
        <w:t>1.具有独立法人资格；</w:t>
      </w:r>
    </w:p>
    <w:p w14:paraId="357A83A1">
      <w:pPr>
        <w:widowControl w:val="0"/>
        <w:snapToGrid w:val="0"/>
        <w:spacing w:line="360" w:lineRule="auto"/>
        <w:ind w:firstLine="640" w:firstLineChars="200"/>
        <w:jc w:val="both"/>
        <w:rPr>
          <w:rFonts w:ascii="仿宋" w:hAnsi="仿宋" w:eastAsia="仿宋" w:cs="仿宋_GB2312"/>
          <w:kern w:val="0"/>
          <w:sz w:val="32"/>
          <w:szCs w:val="32"/>
          <w:lang w:val="en-US" w:eastAsia="zh-CN" w:bidi="ar-SA"/>
        </w:rPr>
      </w:pPr>
      <w:r>
        <w:rPr>
          <w:rFonts w:hint="eastAsia" w:ascii="仿宋" w:hAnsi="仿宋" w:eastAsia="仿宋" w:cs="仿宋_GB2312"/>
          <w:kern w:val="0"/>
          <w:sz w:val="32"/>
          <w:szCs w:val="32"/>
          <w:lang w:val="en-US" w:eastAsia="zh-CN" w:bidi="ar-SA"/>
        </w:rPr>
        <w:t>2.具有较强的装配式建筑产业能力；</w:t>
      </w:r>
    </w:p>
    <w:p w14:paraId="76D47AA9">
      <w:pPr>
        <w:widowControl w:val="0"/>
        <w:snapToGrid w:val="0"/>
        <w:spacing w:line="360" w:lineRule="auto"/>
        <w:ind w:firstLine="640" w:firstLineChars="200"/>
        <w:jc w:val="both"/>
        <w:rPr>
          <w:rFonts w:ascii="仿宋" w:hAnsi="仿宋" w:eastAsia="仿宋" w:cs="Times New Roman"/>
          <w:kern w:val="2"/>
          <w:sz w:val="32"/>
          <w:szCs w:val="32"/>
          <w:lang w:val="en-US" w:eastAsia="zh-CN" w:bidi="ar-SA"/>
        </w:rPr>
      </w:pPr>
      <w:r>
        <w:rPr>
          <w:rFonts w:hint="eastAsia" w:ascii="仿宋" w:hAnsi="仿宋" w:eastAsia="仿宋" w:cs="仿宋_GB2312"/>
          <w:kern w:val="0"/>
          <w:sz w:val="32"/>
          <w:szCs w:val="32"/>
          <w:lang w:val="en-US" w:eastAsia="zh-CN" w:bidi="ar-SA"/>
        </w:rPr>
        <w:t>3.具有先进成熟的装配式建筑相关</w:t>
      </w:r>
      <w:r>
        <w:rPr>
          <w:rFonts w:hint="eastAsia" w:ascii="仿宋" w:hAnsi="仿宋" w:eastAsia="仿宋" w:cs="Times New Roman"/>
          <w:kern w:val="2"/>
          <w:sz w:val="32"/>
          <w:szCs w:val="32"/>
          <w:lang w:val="en-US" w:eastAsia="zh-CN" w:bidi="ar-SA"/>
        </w:rPr>
        <w:t>技术体系，建筑</w:t>
      </w:r>
      <w:r>
        <w:rPr>
          <w:rFonts w:hint="eastAsia" w:ascii="仿宋" w:hAnsi="仿宋" w:eastAsia="仿宋" w:cs="仿宋_GB2312"/>
          <w:kern w:val="0"/>
          <w:sz w:val="32"/>
          <w:szCs w:val="32"/>
          <w:lang w:val="en-US" w:eastAsia="zh-CN" w:bidi="ar-SA"/>
        </w:rPr>
        <w:t>信息模型（BIM）应用水平较高</w:t>
      </w:r>
      <w:r>
        <w:rPr>
          <w:rFonts w:hint="eastAsia" w:ascii="仿宋" w:hAnsi="仿宋" w:eastAsia="仿宋" w:cs="Times New Roman"/>
          <w:kern w:val="2"/>
          <w:sz w:val="32"/>
          <w:szCs w:val="32"/>
          <w:lang w:val="en-US" w:eastAsia="zh-CN" w:bidi="ar-SA"/>
        </w:rPr>
        <w:t>；</w:t>
      </w:r>
    </w:p>
    <w:p w14:paraId="2D41AFDB">
      <w:pPr>
        <w:widowControl w:val="0"/>
        <w:snapToGrid w:val="0"/>
        <w:spacing w:line="360" w:lineRule="auto"/>
        <w:ind w:firstLine="640" w:firstLineChars="200"/>
        <w:jc w:val="both"/>
        <w:rPr>
          <w:rFonts w:ascii="仿宋" w:hAnsi="仿宋" w:eastAsia="仿宋" w:cs="仿宋_GB2312"/>
          <w:kern w:val="2"/>
          <w:sz w:val="32"/>
          <w:szCs w:val="32"/>
          <w:lang w:val="en-US" w:eastAsia="zh-CN" w:bidi="ar-SA"/>
        </w:rPr>
      </w:pPr>
      <w:r>
        <w:rPr>
          <w:rFonts w:hint="eastAsia" w:ascii="仿宋" w:hAnsi="仿宋" w:eastAsia="仿宋" w:cs="仿宋_GB2312"/>
          <w:kern w:val="0"/>
          <w:sz w:val="32"/>
          <w:szCs w:val="32"/>
          <w:lang w:val="en-US" w:eastAsia="zh-CN" w:bidi="ar-SA"/>
        </w:rPr>
        <w:t>4.管理规范，</w:t>
      </w:r>
      <w:r>
        <w:rPr>
          <w:rFonts w:hint="eastAsia" w:ascii="仿宋" w:hAnsi="仿宋" w:eastAsia="仿宋" w:cs="仿宋_GB2312"/>
          <w:kern w:val="2"/>
          <w:sz w:val="32"/>
          <w:szCs w:val="32"/>
          <w:lang w:val="en-US" w:eastAsia="zh-CN" w:bidi="ar-SA"/>
        </w:rPr>
        <w:t>具有完善的现代企业管理制度和产品质量控制体系，市场信誉良好，近两年内未发生较大及以上生产安全事故和各类质量事故；</w:t>
      </w:r>
    </w:p>
    <w:p w14:paraId="52F9C2A2">
      <w:pPr>
        <w:widowControl w:val="0"/>
        <w:snapToGrid w:val="0"/>
        <w:spacing w:line="360" w:lineRule="auto"/>
        <w:ind w:firstLine="640" w:firstLineChars="200"/>
        <w:jc w:val="both"/>
        <w:rPr>
          <w:rFonts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5.制定企业发展规划或计划，具有一定的装配式建筑工程项目实践经验，以及与产业能力相适应的标准化水平和能力，具有示范引领作用；</w:t>
      </w:r>
    </w:p>
    <w:p w14:paraId="216625C3">
      <w:pPr>
        <w:widowControl w:val="0"/>
        <w:snapToGrid w:val="0"/>
        <w:spacing w:line="360" w:lineRule="auto"/>
        <w:ind w:firstLine="640" w:firstLineChars="200"/>
        <w:jc w:val="both"/>
        <w:rPr>
          <w:rFonts w:ascii="仿宋" w:hAnsi="仿宋" w:eastAsia="仿宋" w:cs="Times New Roman"/>
          <w:kern w:val="2"/>
          <w:sz w:val="32"/>
          <w:szCs w:val="32"/>
          <w:lang w:val="en-US" w:eastAsia="zh-CN" w:bidi="ar-SA"/>
        </w:rPr>
      </w:pPr>
      <w:r>
        <w:rPr>
          <w:rFonts w:hint="eastAsia" w:ascii="仿宋" w:hAnsi="仿宋" w:eastAsia="仿宋" w:cs="仿宋_GB2312"/>
          <w:kern w:val="2"/>
          <w:sz w:val="32"/>
          <w:szCs w:val="32"/>
          <w:lang w:val="en-US" w:eastAsia="zh-CN" w:bidi="ar-SA"/>
        </w:rPr>
        <w:t>6.</w:t>
      </w:r>
      <w:r>
        <w:rPr>
          <w:rFonts w:hint="eastAsia" w:ascii="仿宋" w:hAnsi="仿宋" w:eastAsia="仿宋" w:cs="Times New Roman"/>
          <w:kern w:val="2"/>
          <w:sz w:val="32"/>
          <w:szCs w:val="32"/>
          <w:lang w:val="en-US" w:eastAsia="zh-CN" w:bidi="ar-SA"/>
        </w:rPr>
        <w:t>其他应具备的条件。</w:t>
      </w:r>
    </w:p>
    <w:p w14:paraId="4CFA8BA5">
      <w:pPr>
        <w:widowControl w:val="0"/>
        <w:snapToGrid w:val="0"/>
        <w:spacing w:line="360" w:lineRule="auto"/>
        <w:ind w:firstLine="643" w:firstLineChars="200"/>
        <w:jc w:val="both"/>
        <w:rPr>
          <w:rFonts w:ascii="仿宋" w:hAnsi="仿宋" w:eastAsia="仿宋" w:cs="Times New Roman"/>
          <w:kern w:val="2"/>
          <w:sz w:val="32"/>
          <w:szCs w:val="32"/>
          <w:lang w:val="en-US" w:eastAsia="zh-CN" w:bidi="ar-SA"/>
        </w:rPr>
      </w:pPr>
      <w:r>
        <w:rPr>
          <w:rFonts w:hint="eastAsia" w:ascii="仿宋" w:hAnsi="仿宋" w:eastAsia="仿宋" w:cs="Times New Roman"/>
          <w:b/>
          <w:kern w:val="2"/>
          <w:sz w:val="32"/>
          <w:szCs w:val="32"/>
          <w:lang w:val="en-US" w:eastAsia="zh-CN" w:bidi="ar-SA"/>
        </w:rPr>
        <w:t>第六条</w:t>
      </w:r>
      <w:r>
        <w:rPr>
          <w:rFonts w:hint="eastAsia" w:ascii="仿宋" w:hAnsi="仿宋" w:eastAsia="仿宋" w:cs="Times New Roman"/>
          <w:kern w:val="2"/>
          <w:sz w:val="32"/>
          <w:szCs w:val="32"/>
          <w:lang w:val="en-US" w:eastAsia="zh-CN" w:bidi="ar-SA"/>
        </w:rPr>
        <w:t>　申请产业基地的企业需提供以下材料：</w:t>
      </w:r>
    </w:p>
    <w:p w14:paraId="74FD9B2F">
      <w:pPr>
        <w:widowControl w:val="0"/>
        <w:snapToGrid w:val="0"/>
        <w:spacing w:line="360" w:lineRule="auto"/>
        <w:ind w:firstLine="640" w:firstLineChars="200"/>
        <w:jc w:val="both"/>
        <w:rPr>
          <w:rFonts w:ascii="仿宋" w:hAnsi="仿宋" w:eastAsia="仿宋" w:cs="仿宋_GB2312"/>
          <w:kern w:val="0"/>
          <w:sz w:val="32"/>
          <w:szCs w:val="32"/>
          <w:lang w:val="en-US" w:eastAsia="zh-CN" w:bidi="ar-SA"/>
        </w:rPr>
      </w:pPr>
      <w:r>
        <w:rPr>
          <w:rFonts w:hint="eastAsia" w:ascii="仿宋" w:hAnsi="仿宋" w:eastAsia="仿宋" w:cs="仿宋_GB2312"/>
          <w:kern w:val="0"/>
          <w:sz w:val="32"/>
          <w:szCs w:val="32"/>
          <w:lang w:val="en-US" w:eastAsia="zh-CN" w:bidi="ar-SA"/>
        </w:rPr>
        <w:t>1.</w:t>
      </w:r>
      <w:r>
        <w:rPr>
          <w:rFonts w:hint="eastAsia" w:ascii="Calibri" w:hAnsi="Calibri" w:eastAsia="宋体" w:cs="Times New Roman"/>
          <w:kern w:val="2"/>
          <w:sz w:val="21"/>
          <w:szCs w:val="24"/>
          <w:lang w:val="en-US" w:eastAsia="zh-CN" w:bidi="ar-SA"/>
        </w:rPr>
        <w:t xml:space="preserve"> </w:t>
      </w:r>
      <w:r>
        <w:rPr>
          <w:rFonts w:hint="eastAsia" w:ascii="仿宋" w:hAnsi="仿宋" w:eastAsia="仿宋" w:cs="仿宋_GB2312"/>
          <w:kern w:val="0"/>
          <w:sz w:val="32"/>
          <w:szCs w:val="32"/>
          <w:lang w:val="en-US" w:eastAsia="zh-CN" w:bidi="ar-SA"/>
        </w:rPr>
        <w:t>辽宁省装配式建筑产业基地申请表(附件3)；</w:t>
      </w:r>
    </w:p>
    <w:p w14:paraId="38E4C8B8">
      <w:pPr>
        <w:widowControl w:val="0"/>
        <w:snapToGrid w:val="0"/>
        <w:spacing w:line="360" w:lineRule="auto"/>
        <w:ind w:firstLine="640" w:firstLineChars="200"/>
        <w:jc w:val="both"/>
        <w:rPr>
          <w:rFonts w:ascii="仿宋" w:hAnsi="仿宋" w:eastAsia="仿宋" w:cs="仿宋_GB2312"/>
          <w:kern w:val="0"/>
          <w:sz w:val="32"/>
          <w:szCs w:val="32"/>
          <w:lang w:val="en-US" w:eastAsia="zh-CN" w:bidi="ar-SA"/>
        </w:rPr>
      </w:pPr>
      <w:r>
        <w:rPr>
          <w:rFonts w:hint="eastAsia" w:ascii="仿宋" w:hAnsi="仿宋" w:eastAsia="仿宋" w:cs="仿宋_GB2312"/>
          <w:kern w:val="0"/>
          <w:sz w:val="32"/>
          <w:szCs w:val="32"/>
          <w:lang w:val="en-US" w:eastAsia="zh-CN" w:bidi="ar-SA"/>
        </w:rPr>
        <w:t>2.</w:t>
      </w:r>
      <w:r>
        <w:rPr>
          <w:rFonts w:hint="eastAsia" w:ascii="Calibri" w:hAnsi="Calibri" w:eastAsia="宋体" w:cs="Times New Roman"/>
          <w:kern w:val="2"/>
          <w:sz w:val="21"/>
          <w:szCs w:val="24"/>
          <w:lang w:val="en-US" w:eastAsia="zh-CN" w:bidi="ar-SA"/>
        </w:rPr>
        <w:t xml:space="preserve"> </w:t>
      </w:r>
      <w:r>
        <w:rPr>
          <w:rFonts w:hint="eastAsia" w:ascii="仿宋" w:hAnsi="仿宋" w:eastAsia="仿宋" w:cs="仿宋_GB2312"/>
          <w:kern w:val="0"/>
          <w:sz w:val="32"/>
          <w:szCs w:val="32"/>
          <w:lang w:val="en-US" w:eastAsia="zh-CN" w:bidi="ar-SA"/>
        </w:rPr>
        <w:t>辽宁省装配式建筑产业基地可行性研究报告(附件4)；</w:t>
      </w:r>
    </w:p>
    <w:p w14:paraId="1DD0DC72">
      <w:pPr>
        <w:widowControl w:val="0"/>
        <w:snapToGrid w:val="0"/>
        <w:spacing w:line="360" w:lineRule="auto"/>
        <w:ind w:firstLine="640" w:firstLineChars="200"/>
        <w:jc w:val="both"/>
        <w:rPr>
          <w:rFonts w:ascii="仿宋" w:hAnsi="仿宋" w:eastAsia="仿宋" w:cs="仿宋_GB2312"/>
          <w:kern w:val="0"/>
          <w:sz w:val="32"/>
          <w:szCs w:val="32"/>
          <w:lang w:val="en-US" w:eastAsia="zh-CN" w:bidi="ar-SA"/>
        </w:rPr>
      </w:pPr>
      <w:r>
        <w:rPr>
          <w:rFonts w:hint="eastAsia" w:ascii="仿宋" w:hAnsi="仿宋" w:eastAsia="仿宋" w:cs="仿宋_GB2312"/>
          <w:kern w:val="0"/>
          <w:sz w:val="32"/>
          <w:szCs w:val="32"/>
          <w:lang w:val="en-US" w:eastAsia="zh-CN" w:bidi="ar-SA"/>
        </w:rPr>
        <w:t>3.企业营业执照、资质等相关证书；</w:t>
      </w:r>
    </w:p>
    <w:p w14:paraId="037774FA">
      <w:pPr>
        <w:widowControl w:val="0"/>
        <w:snapToGrid w:val="0"/>
        <w:spacing w:line="360" w:lineRule="auto"/>
        <w:ind w:firstLine="640" w:firstLineChars="200"/>
        <w:jc w:val="both"/>
        <w:rPr>
          <w:rFonts w:ascii="仿宋" w:hAnsi="仿宋" w:eastAsia="仿宋" w:cs="仿宋_GB2312"/>
          <w:kern w:val="0"/>
          <w:sz w:val="32"/>
          <w:szCs w:val="32"/>
          <w:lang w:val="en-US" w:eastAsia="zh-CN" w:bidi="ar-SA"/>
        </w:rPr>
      </w:pPr>
      <w:r>
        <w:rPr>
          <w:rFonts w:hint="eastAsia" w:ascii="仿宋" w:hAnsi="仿宋" w:eastAsia="仿宋" w:cs="仿宋_GB2312"/>
          <w:kern w:val="0"/>
          <w:sz w:val="32"/>
          <w:szCs w:val="32"/>
          <w:lang w:val="en-US" w:eastAsia="zh-CN" w:bidi="ar-SA"/>
        </w:rPr>
        <w:t>4.企业管理制度、发展规划或计划、质量安全管理制度；</w:t>
      </w:r>
    </w:p>
    <w:p w14:paraId="0772E8D0">
      <w:pPr>
        <w:widowControl w:val="0"/>
        <w:snapToGrid w:val="0"/>
        <w:spacing w:line="360" w:lineRule="auto"/>
        <w:ind w:firstLine="640" w:firstLineChars="200"/>
        <w:jc w:val="both"/>
        <w:rPr>
          <w:rFonts w:ascii="仿宋" w:hAnsi="仿宋" w:eastAsia="仿宋" w:cs="仿宋_GB2312"/>
          <w:kern w:val="0"/>
          <w:sz w:val="32"/>
          <w:szCs w:val="32"/>
          <w:lang w:val="en-US" w:eastAsia="zh-CN" w:bidi="ar-SA"/>
        </w:rPr>
      </w:pPr>
      <w:r>
        <w:rPr>
          <w:rFonts w:hint="eastAsia" w:ascii="仿宋" w:hAnsi="仿宋" w:eastAsia="仿宋" w:cs="仿宋_GB2312"/>
          <w:kern w:val="0"/>
          <w:sz w:val="32"/>
          <w:szCs w:val="32"/>
          <w:lang w:val="en-US" w:eastAsia="zh-CN" w:bidi="ar-SA"/>
        </w:rPr>
        <w:t>5.其他应提供的材料。</w:t>
      </w:r>
    </w:p>
    <w:p w14:paraId="3F69B661">
      <w:pPr>
        <w:suppressAutoHyphens/>
        <w:bidi w:val="0"/>
        <w:snapToGrid w:val="0"/>
        <w:spacing w:line="360" w:lineRule="auto"/>
        <w:jc w:val="center"/>
        <w:rPr>
          <w:rFonts w:ascii="黑体" w:hAnsi="黑体" w:eastAsia="黑体" w:cs="黑体"/>
          <w:bCs/>
          <w:sz w:val="32"/>
          <w:szCs w:val="32"/>
        </w:rPr>
      </w:pPr>
    </w:p>
    <w:p w14:paraId="16E16EC7">
      <w:pPr>
        <w:suppressAutoHyphens/>
        <w:bidi w:val="0"/>
        <w:snapToGrid w:val="0"/>
        <w:spacing w:line="360" w:lineRule="auto"/>
        <w:jc w:val="center"/>
        <w:rPr>
          <w:rFonts w:ascii="黑体" w:hAnsi="黑体" w:eastAsia="黑体" w:cs="黑体"/>
          <w:bCs/>
          <w:sz w:val="32"/>
          <w:szCs w:val="32"/>
        </w:rPr>
      </w:pPr>
      <w:r>
        <w:rPr>
          <w:rFonts w:hint="eastAsia" w:ascii="黑体" w:hAnsi="黑体" w:eastAsia="黑体" w:cs="黑体"/>
          <w:bCs/>
          <w:sz w:val="32"/>
          <w:szCs w:val="32"/>
        </w:rPr>
        <w:t>第三章　评审和认定</w:t>
      </w:r>
    </w:p>
    <w:p w14:paraId="37246DB5">
      <w:pPr>
        <w:suppressAutoHyphens/>
        <w:bidi w:val="0"/>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第</w:t>
      </w:r>
      <w:r>
        <w:rPr>
          <w:rFonts w:hint="eastAsia" w:ascii="仿宋" w:hAnsi="仿宋" w:eastAsia="仿宋"/>
          <w:b/>
          <w:sz w:val="32"/>
          <w:szCs w:val="32"/>
          <w:lang w:eastAsia="zh-CN"/>
        </w:rPr>
        <w:t>七</w:t>
      </w:r>
      <w:r>
        <w:rPr>
          <w:rFonts w:hint="eastAsia" w:ascii="仿宋" w:hAnsi="仿宋" w:eastAsia="仿宋"/>
          <w:b/>
          <w:sz w:val="32"/>
          <w:szCs w:val="32"/>
        </w:rPr>
        <w:t>条　</w:t>
      </w:r>
      <w:r>
        <w:rPr>
          <w:rFonts w:hint="eastAsia" w:ascii="仿宋" w:hAnsi="仿宋" w:eastAsia="仿宋"/>
          <w:bCs/>
          <w:sz w:val="32"/>
          <w:szCs w:val="32"/>
        </w:rPr>
        <w:t>设区市政府负责对产业基地申请情况进行核实和初审,符合条件的报省住房城乡建设厅。省住房城乡建设厅根据各地装配式建筑发展情况定期开展产业基地认定。</w:t>
      </w:r>
    </w:p>
    <w:p w14:paraId="754A344C">
      <w:pPr>
        <w:suppressAutoHyphens/>
        <w:bidi w:val="0"/>
        <w:snapToGrid w:val="0"/>
        <w:spacing w:line="360" w:lineRule="auto"/>
        <w:ind w:firstLine="643" w:firstLineChars="200"/>
        <w:rPr>
          <w:rFonts w:ascii="仿宋" w:hAnsi="仿宋" w:eastAsia="仿宋" w:cs="仿宋_GB2312"/>
          <w:kern w:val="0"/>
          <w:sz w:val="32"/>
          <w:szCs w:val="32"/>
        </w:rPr>
      </w:pPr>
      <w:r>
        <w:rPr>
          <w:rFonts w:hint="eastAsia" w:ascii="仿宋" w:hAnsi="仿宋" w:eastAsia="仿宋"/>
          <w:b/>
          <w:sz w:val="32"/>
          <w:szCs w:val="32"/>
        </w:rPr>
        <w:t>第</w:t>
      </w:r>
      <w:r>
        <w:rPr>
          <w:rFonts w:hint="eastAsia" w:ascii="仿宋" w:hAnsi="仿宋" w:eastAsia="仿宋"/>
          <w:b/>
          <w:sz w:val="32"/>
          <w:szCs w:val="32"/>
          <w:lang w:eastAsia="zh-CN"/>
        </w:rPr>
        <w:t>八</w:t>
      </w:r>
      <w:r>
        <w:rPr>
          <w:rFonts w:hint="eastAsia" w:ascii="仿宋" w:hAnsi="仿宋" w:eastAsia="仿宋"/>
          <w:b/>
          <w:sz w:val="32"/>
          <w:szCs w:val="32"/>
        </w:rPr>
        <w:t>条　</w:t>
      </w:r>
      <w:r>
        <w:rPr>
          <w:rFonts w:hint="eastAsia" w:ascii="仿宋" w:hAnsi="仿宋" w:eastAsia="仿宋"/>
          <w:bCs/>
          <w:sz w:val="32"/>
          <w:szCs w:val="32"/>
        </w:rPr>
        <w:t>省住房城乡建设厅</w:t>
      </w:r>
      <w:r>
        <w:rPr>
          <w:rFonts w:hint="eastAsia" w:ascii="仿宋" w:hAnsi="仿宋" w:eastAsia="仿宋" w:cs="仿宋_GB2312"/>
          <w:kern w:val="0"/>
          <w:sz w:val="32"/>
          <w:szCs w:val="32"/>
        </w:rPr>
        <w:t>组织评审专家委员会，对申请的产业基地进行评审。</w:t>
      </w:r>
    </w:p>
    <w:p w14:paraId="31E61C55">
      <w:pPr>
        <w:suppressAutoHyphens/>
        <w:bidi w:val="0"/>
        <w:snapToGrid w:val="0"/>
        <w:spacing w:line="360" w:lineRule="auto"/>
        <w:ind w:firstLine="643" w:firstLineChars="200"/>
        <w:rPr>
          <w:rFonts w:ascii="仿宋" w:hAnsi="仿宋" w:eastAsia="仿宋" w:cs="仿宋_GB2312"/>
          <w:kern w:val="0"/>
          <w:sz w:val="32"/>
          <w:szCs w:val="32"/>
        </w:rPr>
      </w:pPr>
      <w:r>
        <w:rPr>
          <w:rFonts w:hint="eastAsia" w:ascii="仿宋" w:hAnsi="仿宋" w:eastAsia="仿宋"/>
          <w:b/>
          <w:sz w:val="32"/>
          <w:szCs w:val="32"/>
        </w:rPr>
        <w:t>第</w:t>
      </w:r>
      <w:r>
        <w:rPr>
          <w:rFonts w:hint="eastAsia" w:ascii="仿宋" w:hAnsi="仿宋" w:eastAsia="仿宋"/>
          <w:b/>
          <w:sz w:val="32"/>
          <w:szCs w:val="32"/>
          <w:lang w:eastAsia="zh-CN"/>
        </w:rPr>
        <w:t>九</w:t>
      </w:r>
      <w:r>
        <w:rPr>
          <w:rFonts w:hint="eastAsia" w:ascii="仿宋" w:hAnsi="仿宋" w:eastAsia="仿宋"/>
          <w:b/>
          <w:sz w:val="32"/>
          <w:szCs w:val="32"/>
        </w:rPr>
        <w:t>条</w:t>
      </w:r>
      <w:bookmarkStart w:id="2" w:name="OLE_LINK1"/>
      <w:r>
        <w:rPr>
          <w:rFonts w:hint="eastAsia" w:ascii="仿宋" w:hAnsi="仿宋" w:eastAsia="仿宋"/>
          <w:b/>
          <w:sz w:val="32"/>
          <w:szCs w:val="32"/>
        </w:rPr>
        <w:t>　</w:t>
      </w:r>
      <w:r>
        <w:rPr>
          <w:rFonts w:hint="eastAsia" w:ascii="仿宋" w:hAnsi="仿宋" w:eastAsia="仿宋" w:cs="仿宋_GB2312"/>
          <w:kern w:val="0"/>
          <w:sz w:val="32"/>
          <w:szCs w:val="32"/>
        </w:rPr>
        <w:t>评审专家委员会一般由5-7名专家组成，应根据参评企业类型选择装配式建筑设计、部品部件生产、施工、装备制造、科技研发、管理等相关领域的专家。专家委员会设主任委员1人，副主任委员1人，由主任委员主持评审工作。专家委员会应客观、公正，遵循回避原则，并对评审结果负责。</w:t>
      </w:r>
    </w:p>
    <w:bookmarkEnd w:id="2"/>
    <w:p w14:paraId="15BB8977">
      <w:pPr>
        <w:suppressAutoHyphens/>
        <w:bidi w:val="0"/>
        <w:snapToGrid w:val="0"/>
        <w:spacing w:line="360" w:lineRule="auto"/>
        <w:ind w:firstLine="643" w:firstLineChars="200"/>
        <w:rPr>
          <w:rFonts w:ascii="仿宋" w:hAnsi="仿宋" w:eastAsia="仿宋"/>
          <w:sz w:val="32"/>
          <w:szCs w:val="32"/>
        </w:rPr>
      </w:pPr>
      <w:r>
        <w:rPr>
          <w:rFonts w:hint="eastAsia" w:ascii="仿宋" w:hAnsi="仿宋" w:eastAsia="仿宋"/>
          <w:b/>
          <w:sz w:val="32"/>
          <w:szCs w:val="32"/>
        </w:rPr>
        <w:t>第十条　</w:t>
      </w:r>
      <w:r>
        <w:rPr>
          <w:rFonts w:hint="eastAsia" w:ascii="仿宋" w:hAnsi="仿宋" w:eastAsia="仿宋" w:cs="仿宋_GB2312"/>
          <w:kern w:val="0"/>
          <w:sz w:val="32"/>
          <w:szCs w:val="32"/>
        </w:rPr>
        <w:t>评审内容主要包括：产业基地的基础条件；人才、技术和管理等方面的综合实力；实际业绩；发展装配式建筑的目标和计划安排</w:t>
      </w:r>
      <w:r>
        <w:rPr>
          <w:rFonts w:hint="eastAsia" w:ascii="仿宋" w:hAnsi="仿宋" w:eastAsia="仿宋"/>
          <w:sz w:val="32"/>
          <w:szCs w:val="32"/>
        </w:rPr>
        <w:t>等。</w:t>
      </w:r>
    </w:p>
    <w:p w14:paraId="0EBFAFF9">
      <w:pPr>
        <w:suppressAutoHyphens/>
        <w:bidi w:val="0"/>
        <w:snapToGrid w:val="0"/>
        <w:spacing w:line="360" w:lineRule="auto"/>
        <w:ind w:firstLine="643" w:firstLineChars="200"/>
        <w:rPr>
          <w:rFonts w:ascii="仿宋" w:hAnsi="仿宋" w:eastAsia="仿宋" w:cs="仿宋_GB2312"/>
          <w:bCs/>
          <w:kern w:val="0"/>
          <w:sz w:val="32"/>
          <w:szCs w:val="32"/>
        </w:rPr>
      </w:pPr>
      <w:r>
        <w:rPr>
          <w:rFonts w:hint="eastAsia" w:ascii="仿宋" w:hAnsi="仿宋" w:eastAsia="仿宋" w:cs="仿宋_GB2312"/>
          <w:b/>
          <w:kern w:val="0"/>
          <w:sz w:val="32"/>
          <w:szCs w:val="32"/>
        </w:rPr>
        <w:t>第十</w:t>
      </w:r>
      <w:r>
        <w:rPr>
          <w:rFonts w:hint="eastAsia" w:ascii="仿宋" w:hAnsi="仿宋" w:eastAsia="仿宋" w:cs="仿宋_GB2312"/>
          <w:b/>
          <w:kern w:val="0"/>
          <w:sz w:val="32"/>
          <w:szCs w:val="32"/>
          <w:lang w:eastAsia="zh-CN"/>
        </w:rPr>
        <w:t>一</w:t>
      </w:r>
      <w:r>
        <w:rPr>
          <w:rFonts w:hint="eastAsia" w:ascii="仿宋" w:hAnsi="仿宋" w:eastAsia="仿宋" w:cs="仿宋_GB2312"/>
          <w:b/>
          <w:kern w:val="0"/>
          <w:sz w:val="32"/>
          <w:szCs w:val="32"/>
        </w:rPr>
        <w:t>条　</w:t>
      </w:r>
      <w:r>
        <w:rPr>
          <w:rFonts w:hint="eastAsia" w:ascii="仿宋" w:hAnsi="仿宋" w:eastAsia="仿宋" w:cs="仿宋_GB2312"/>
          <w:bCs/>
          <w:kern w:val="0"/>
          <w:sz w:val="32"/>
          <w:szCs w:val="32"/>
        </w:rPr>
        <w:t xml:space="preserve">经专家委员会评审后后，对符合要求的，省住房城乡建设厅认定后公布产业基地名单。对不符合要求的产业基地不予认定。             </w:t>
      </w:r>
    </w:p>
    <w:p w14:paraId="30BAFD9E">
      <w:pPr>
        <w:suppressAutoHyphens/>
        <w:bidi w:val="0"/>
        <w:snapToGrid w:val="0"/>
        <w:spacing w:line="360" w:lineRule="auto"/>
        <w:jc w:val="center"/>
        <w:rPr>
          <w:rFonts w:ascii="黑体" w:hAnsi="黑体" w:eastAsia="黑体" w:cs="黑体"/>
          <w:bCs/>
          <w:sz w:val="32"/>
          <w:szCs w:val="32"/>
        </w:rPr>
      </w:pPr>
    </w:p>
    <w:p w14:paraId="30BFABCC">
      <w:pPr>
        <w:suppressAutoHyphens/>
        <w:bidi w:val="0"/>
        <w:snapToGrid w:val="0"/>
        <w:spacing w:line="360" w:lineRule="auto"/>
        <w:jc w:val="center"/>
        <w:rPr>
          <w:rFonts w:ascii="黑体" w:hAnsi="黑体" w:eastAsia="黑体" w:cs="黑体"/>
          <w:bCs/>
          <w:sz w:val="32"/>
          <w:szCs w:val="32"/>
        </w:rPr>
      </w:pPr>
      <w:r>
        <w:rPr>
          <w:rFonts w:hint="eastAsia" w:ascii="黑体" w:hAnsi="黑体" w:eastAsia="黑体" w:cs="黑体"/>
          <w:bCs/>
          <w:sz w:val="32"/>
          <w:szCs w:val="32"/>
        </w:rPr>
        <w:t>第四章　监督管理</w:t>
      </w:r>
    </w:p>
    <w:p w14:paraId="3FBB7CA8">
      <w:pPr>
        <w:suppressAutoHyphens/>
        <w:bidi w:val="0"/>
        <w:snapToGrid w:val="0"/>
        <w:spacing w:line="360" w:lineRule="auto"/>
        <w:ind w:firstLine="643" w:firstLineChars="200"/>
        <w:rPr>
          <w:rFonts w:ascii="仿宋" w:hAnsi="仿宋" w:eastAsia="仿宋" w:cs="仿宋_GB2312"/>
          <w:kern w:val="0"/>
          <w:sz w:val="32"/>
          <w:szCs w:val="32"/>
        </w:rPr>
      </w:pPr>
      <w:r>
        <w:rPr>
          <w:rFonts w:hint="eastAsia" w:ascii="仿宋" w:hAnsi="仿宋" w:eastAsia="仿宋" w:cs="仿宋_GB2312"/>
          <w:b/>
          <w:kern w:val="0"/>
          <w:sz w:val="32"/>
          <w:szCs w:val="32"/>
        </w:rPr>
        <w:t>第十</w:t>
      </w:r>
      <w:r>
        <w:rPr>
          <w:rFonts w:hint="eastAsia" w:ascii="仿宋" w:hAnsi="仿宋" w:eastAsia="仿宋" w:cs="仿宋_GB2312"/>
          <w:b/>
          <w:kern w:val="0"/>
          <w:sz w:val="32"/>
          <w:szCs w:val="32"/>
          <w:lang w:eastAsia="zh-CN"/>
        </w:rPr>
        <w:t>二</w:t>
      </w:r>
      <w:r>
        <w:rPr>
          <w:rFonts w:hint="eastAsia" w:ascii="仿宋" w:hAnsi="仿宋" w:eastAsia="仿宋" w:cs="仿宋_GB2312"/>
          <w:b/>
          <w:kern w:val="0"/>
          <w:sz w:val="32"/>
          <w:szCs w:val="32"/>
        </w:rPr>
        <w:t>条　</w:t>
      </w:r>
      <w:r>
        <w:rPr>
          <w:rFonts w:hint="eastAsia" w:ascii="仿宋" w:hAnsi="仿宋" w:eastAsia="仿宋" w:cs="仿宋_GB2312"/>
          <w:kern w:val="0"/>
          <w:sz w:val="32"/>
          <w:szCs w:val="32"/>
        </w:rPr>
        <w:t>产业基地应制定工作计划，做好实施工作，及时总结经验，向省住房城乡建设厅报送年度发展报告并接受检查。</w:t>
      </w:r>
    </w:p>
    <w:p w14:paraId="309189C6">
      <w:pPr>
        <w:suppressAutoHyphens/>
        <w:bidi w:val="0"/>
        <w:snapToGrid w:val="0"/>
        <w:spacing w:line="360" w:lineRule="auto"/>
        <w:ind w:firstLine="643" w:firstLineChars="200"/>
        <w:rPr>
          <w:rFonts w:ascii="仿宋" w:hAnsi="仿宋" w:eastAsia="仿宋" w:cs="仿宋_GB2312"/>
          <w:kern w:val="0"/>
          <w:sz w:val="32"/>
          <w:szCs w:val="32"/>
        </w:rPr>
      </w:pPr>
      <w:r>
        <w:rPr>
          <w:rFonts w:hint="eastAsia" w:ascii="仿宋" w:hAnsi="仿宋" w:eastAsia="仿宋" w:cs="Arial"/>
          <w:b/>
          <w:kern w:val="0"/>
          <w:sz w:val="32"/>
          <w:szCs w:val="32"/>
        </w:rPr>
        <w:t>第十</w:t>
      </w:r>
      <w:r>
        <w:rPr>
          <w:rFonts w:hint="eastAsia" w:ascii="仿宋" w:hAnsi="仿宋" w:eastAsia="仿宋" w:cs="Arial"/>
          <w:b/>
          <w:kern w:val="0"/>
          <w:sz w:val="32"/>
          <w:szCs w:val="32"/>
          <w:lang w:eastAsia="zh-CN"/>
        </w:rPr>
        <w:t>三</w:t>
      </w:r>
      <w:r>
        <w:rPr>
          <w:rFonts w:hint="eastAsia" w:ascii="仿宋" w:hAnsi="仿宋" w:eastAsia="仿宋" w:cs="Arial"/>
          <w:b/>
          <w:kern w:val="0"/>
          <w:sz w:val="32"/>
          <w:szCs w:val="32"/>
        </w:rPr>
        <w:t>条</w:t>
      </w:r>
      <w:r>
        <w:rPr>
          <w:rFonts w:hint="eastAsia" w:ascii="仿宋" w:hAnsi="仿宋" w:eastAsia="仿宋" w:cs="Arial"/>
          <w:kern w:val="0"/>
          <w:sz w:val="32"/>
          <w:szCs w:val="32"/>
        </w:rPr>
        <w:t>　</w:t>
      </w:r>
      <w:r>
        <w:rPr>
          <w:rFonts w:hint="eastAsia" w:ascii="仿宋" w:hAnsi="仿宋" w:eastAsia="仿宋" w:cs="仿宋_GB2312"/>
          <w:kern w:val="0"/>
          <w:sz w:val="32"/>
          <w:szCs w:val="32"/>
        </w:rPr>
        <w:t>各市住房城乡建设主管部门负责本地区产业基地的监督管理。</w:t>
      </w:r>
    </w:p>
    <w:p w14:paraId="69293DB1">
      <w:pPr>
        <w:suppressAutoHyphens/>
        <w:bidi w:val="0"/>
        <w:snapToGrid w:val="0"/>
        <w:spacing w:line="360" w:lineRule="auto"/>
        <w:ind w:firstLine="643" w:firstLineChars="200"/>
        <w:rPr>
          <w:rFonts w:ascii="仿宋" w:hAnsi="仿宋" w:eastAsia="仿宋" w:cs="Arial"/>
          <w:kern w:val="0"/>
          <w:sz w:val="32"/>
          <w:szCs w:val="32"/>
        </w:rPr>
      </w:pPr>
      <w:r>
        <w:rPr>
          <w:rFonts w:hint="eastAsia" w:ascii="仿宋" w:hAnsi="仿宋" w:eastAsia="仿宋" w:cs="Arial"/>
          <w:b/>
          <w:kern w:val="0"/>
          <w:sz w:val="32"/>
          <w:szCs w:val="32"/>
        </w:rPr>
        <w:t>第十</w:t>
      </w:r>
      <w:r>
        <w:rPr>
          <w:rFonts w:hint="eastAsia" w:ascii="仿宋" w:hAnsi="仿宋" w:eastAsia="仿宋" w:cs="Arial"/>
          <w:b/>
          <w:kern w:val="0"/>
          <w:sz w:val="32"/>
          <w:szCs w:val="32"/>
          <w:lang w:eastAsia="zh-CN"/>
        </w:rPr>
        <w:t>四</w:t>
      </w:r>
      <w:r>
        <w:rPr>
          <w:rFonts w:hint="eastAsia" w:ascii="仿宋" w:hAnsi="仿宋" w:eastAsia="仿宋" w:cs="Arial"/>
          <w:b/>
          <w:kern w:val="0"/>
          <w:sz w:val="32"/>
          <w:szCs w:val="32"/>
        </w:rPr>
        <w:t>条</w:t>
      </w:r>
      <w:r>
        <w:rPr>
          <w:rFonts w:hint="eastAsia" w:ascii="仿宋" w:hAnsi="仿宋" w:eastAsia="仿宋" w:cs="仿宋_GB2312"/>
          <w:kern w:val="0"/>
          <w:sz w:val="32"/>
          <w:szCs w:val="32"/>
        </w:rPr>
        <w:t>　省住房城乡建设厅定期</w:t>
      </w:r>
      <w:r>
        <w:rPr>
          <w:rFonts w:hint="eastAsia" w:ascii="仿宋" w:hAnsi="仿宋" w:eastAsia="仿宋" w:cs="Arial"/>
          <w:kern w:val="0"/>
          <w:sz w:val="32"/>
          <w:szCs w:val="32"/>
        </w:rPr>
        <w:t>对产业基地工作目标、主要任务和计划安排的完成情况等进行检查，通报检查结果。未完成工作目标和主要任务</w:t>
      </w:r>
      <w:r>
        <w:rPr>
          <w:rFonts w:hint="eastAsia" w:ascii="仿宋" w:hAnsi="仿宋" w:eastAsia="仿宋" w:cs="仿宋_GB2312"/>
          <w:kern w:val="0"/>
          <w:sz w:val="32"/>
          <w:szCs w:val="32"/>
        </w:rPr>
        <w:t>的产业基地，由省住房城乡建设厅向当地市级住房城乡建设主管部门</w:t>
      </w:r>
      <w:r>
        <w:rPr>
          <w:rFonts w:hint="eastAsia" w:ascii="仿宋" w:hAnsi="仿宋" w:eastAsia="仿宋" w:cs="Arial"/>
          <w:kern w:val="0"/>
          <w:sz w:val="32"/>
          <w:szCs w:val="32"/>
        </w:rPr>
        <w:t>提出处理意见，责令限期整改。省住房城乡建设厅根据检查及整改情况进行评估，评估合格的继续认定为产业基地，评估不合格的由省住房城乡建设厅撤销其产业基地认定。</w:t>
      </w:r>
    </w:p>
    <w:p w14:paraId="4B8B68A1">
      <w:pPr>
        <w:keepNext w:val="0"/>
        <w:keepLines w:val="0"/>
        <w:widowControl w:val="0"/>
        <w:snapToGrid w:val="0"/>
        <w:spacing w:before="0" w:after="0" w:line="360" w:lineRule="auto"/>
        <w:jc w:val="center"/>
        <w:outlineLvl w:val="0"/>
        <w:rPr>
          <w:rFonts w:ascii="黑体" w:hAnsi="黑体" w:eastAsia="黑体" w:cs="黑体"/>
          <w:b w:val="0"/>
          <w:bCs/>
          <w:kern w:val="44"/>
          <w:sz w:val="32"/>
          <w:szCs w:val="32"/>
          <w:lang w:val="en-US" w:eastAsia="zh-CN" w:bidi="ar-SA"/>
        </w:rPr>
      </w:pPr>
    </w:p>
    <w:p w14:paraId="3DB1A936">
      <w:pPr>
        <w:keepNext w:val="0"/>
        <w:keepLines w:val="0"/>
        <w:widowControl w:val="0"/>
        <w:snapToGrid w:val="0"/>
        <w:spacing w:before="0" w:after="0" w:line="360" w:lineRule="auto"/>
        <w:jc w:val="center"/>
        <w:outlineLvl w:val="0"/>
        <w:rPr>
          <w:rFonts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第五章　附　　则</w:t>
      </w:r>
    </w:p>
    <w:p w14:paraId="6989BDBE">
      <w:pPr>
        <w:suppressAutoHyphens/>
        <w:bidi w:val="0"/>
        <w:snapToGrid w:val="0"/>
        <w:spacing w:line="360" w:lineRule="auto"/>
        <w:ind w:firstLine="643" w:firstLineChars="200"/>
        <w:rPr>
          <w:rFonts w:ascii="仿宋" w:hAnsi="仿宋" w:eastAsia="仿宋" w:cs="Arial"/>
          <w:kern w:val="0"/>
          <w:sz w:val="32"/>
          <w:szCs w:val="32"/>
        </w:rPr>
      </w:pPr>
      <w:r>
        <w:rPr>
          <w:rFonts w:hint="eastAsia" w:ascii="仿宋" w:hAnsi="仿宋" w:eastAsia="仿宋" w:cs="Arial"/>
          <w:b/>
          <w:kern w:val="0"/>
          <w:sz w:val="32"/>
          <w:szCs w:val="32"/>
        </w:rPr>
        <w:t>第十</w:t>
      </w:r>
      <w:r>
        <w:rPr>
          <w:rFonts w:hint="eastAsia" w:ascii="仿宋" w:hAnsi="仿宋" w:eastAsia="仿宋" w:cs="Arial"/>
          <w:b/>
          <w:kern w:val="0"/>
          <w:sz w:val="32"/>
          <w:szCs w:val="32"/>
          <w:lang w:eastAsia="zh-CN"/>
        </w:rPr>
        <w:t>五</w:t>
      </w:r>
      <w:r>
        <w:rPr>
          <w:rFonts w:hint="eastAsia" w:ascii="仿宋" w:hAnsi="仿宋" w:eastAsia="仿宋" w:cs="Arial"/>
          <w:b/>
          <w:kern w:val="0"/>
          <w:sz w:val="32"/>
          <w:szCs w:val="32"/>
        </w:rPr>
        <w:t>条</w:t>
      </w:r>
      <w:r>
        <w:rPr>
          <w:rFonts w:hint="eastAsia" w:ascii="仿宋" w:hAnsi="仿宋" w:eastAsia="仿宋" w:cs="Arial"/>
          <w:kern w:val="0"/>
          <w:sz w:val="32"/>
          <w:szCs w:val="32"/>
        </w:rPr>
        <w:t>　本管理办法自发布之日起实施。</w:t>
      </w:r>
    </w:p>
    <w:p w14:paraId="4F241663">
      <w:pPr>
        <w:suppressAutoHyphens/>
        <w:bidi w:val="0"/>
        <w:snapToGrid w:val="0"/>
        <w:spacing w:line="360" w:lineRule="auto"/>
        <w:ind w:firstLine="643" w:firstLineChars="200"/>
        <w:rPr>
          <w:rFonts w:ascii="仿宋" w:hAnsi="仿宋" w:eastAsia="仿宋"/>
          <w:spacing w:val="-8"/>
          <w:sz w:val="21"/>
          <w:szCs w:val="22"/>
        </w:rPr>
      </w:pPr>
      <w:r>
        <w:rPr>
          <w:rFonts w:hint="eastAsia" w:ascii="仿宋" w:hAnsi="仿宋" w:eastAsia="仿宋" w:cs="Arial"/>
          <w:b/>
          <w:kern w:val="0"/>
          <w:sz w:val="32"/>
          <w:szCs w:val="32"/>
        </w:rPr>
        <w:t>第十</w:t>
      </w:r>
      <w:r>
        <w:rPr>
          <w:rFonts w:hint="eastAsia" w:ascii="仿宋" w:hAnsi="仿宋" w:eastAsia="仿宋" w:cs="Arial"/>
          <w:b/>
          <w:kern w:val="0"/>
          <w:sz w:val="32"/>
          <w:szCs w:val="32"/>
          <w:lang w:eastAsia="zh-CN"/>
        </w:rPr>
        <w:t>六</w:t>
      </w:r>
      <w:r>
        <w:rPr>
          <w:rFonts w:hint="eastAsia" w:ascii="仿宋" w:hAnsi="仿宋" w:eastAsia="仿宋" w:cs="Arial"/>
          <w:b/>
          <w:kern w:val="0"/>
          <w:sz w:val="32"/>
          <w:szCs w:val="32"/>
        </w:rPr>
        <w:t>条</w:t>
      </w:r>
      <w:r>
        <w:rPr>
          <w:rFonts w:hint="eastAsia" w:ascii="仿宋" w:hAnsi="仿宋" w:eastAsia="仿宋" w:cs="Arial"/>
          <w:kern w:val="0"/>
          <w:sz w:val="32"/>
          <w:szCs w:val="32"/>
        </w:rPr>
        <w:t>　</w:t>
      </w:r>
      <w:r>
        <w:rPr>
          <w:rFonts w:hint="eastAsia" w:ascii="仿宋" w:hAnsi="仿宋" w:eastAsia="仿宋" w:cs="Arial"/>
          <w:spacing w:val="-8"/>
          <w:kern w:val="0"/>
          <w:sz w:val="32"/>
          <w:szCs w:val="32"/>
        </w:rPr>
        <w:t>本办法由</w:t>
      </w:r>
      <w:r>
        <w:rPr>
          <w:rFonts w:hint="eastAsia" w:ascii="仿宋" w:hAnsi="仿宋" w:eastAsia="仿宋" w:cs="仿宋_GB2312"/>
          <w:spacing w:val="-8"/>
          <w:kern w:val="0"/>
          <w:sz w:val="32"/>
          <w:szCs w:val="32"/>
        </w:rPr>
        <w:t>省住房和城乡建设厅</w:t>
      </w:r>
      <w:r>
        <w:rPr>
          <w:rFonts w:hint="eastAsia" w:ascii="仿宋" w:hAnsi="仿宋" w:eastAsia="仿宋" w:cs="Arial"/>
          <w:spacing w:val="-8"/>
          <w:kern w:val="0"/>
          <w:sz w:val="32"/>
          <w:szCs w:val="32"/>
        </w:rPr>
        <w:t>负责解释。</w:t>
      </w:r>
    </w:p>
    <w:p w14:paraId="613B47B6">
      <w:pPr>
        <w:keepNext/>
        <w:keepLines/>
        <w:pageBreakBefore/>
        <w:suppressAutoHyphens/>
        <w:bidi w:val="0"/>
        <w:outlineLvl w:val="1"/>
        <w:rPr>
          <w:rFonts w:ascii="仿宋" w:hAnsi="仿宋" w:eastAsia="仿宋" w:cs="仿宋_GB2312"/>
          <w:bCs/>
          <w:sz w:val="30"/>
          <w:szCs w:val="30"/>
        </w:rPr>
      </w:pPr>
      <w:r>
        <w:rPr>
          <w:rFonts w:hint="eastAsia" w:ascii="仿宋" w:hAnsi="仿宋" w:eastAsia="仿宋" w:cs="仿宋_GB2312"/>
          <w:bCs/>
          <w:sz w:val="30"/>
          <w:szCs w:val="30"/>
        </w:rPr>
        <w:t>附件3</w:t>
      </w:r>
    </w:p>
    <w:p w14:paraId="5BE20D56">
      <w:pPr>
        <w:suppressAutoHyphens/>
        <w:bidi w:val="0"/>
        <w:spacing w:after="156" w:afterLines="50"/>
        <w:jc w:val="center"/>
        <w:rPr>
          <w:rFonts w:ascii="仿宋" w:hAnsi="仿宋" w:eastAsia="仿宋" w:cs="宋体-18030"/>
          <w:b/>
          <w:sz w:val="36"/>
          <w:szCs w:val="36"/>
        </w:rPr>
      </w:pPr>
      <w:r>
        <w:rPr>
          <w:rFonts w:hint="eastAsia" w:ascii="仿宋" w:hAnsi="仿宋" w:eastAsia="仿宋" w:cs="宋体-18030"/>
          <w:b/>
          <w:sz w:val="36"/>
          <w:szCs w:val="36"/>
        </w:rPr>
        <w:t>辽宁省装配式建筑产业基地申请表</w:t>
      </w:r>
    </w:p>
    <w:tbl>
      <w:tblPr>
        <w:tblStyle w:val="4"/>
        <w:tblW w:w="1001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478"/>
        <w:gridCol w:w="1245"/>
        <w:gridCol w:w="1667"/>
        <w:gridCol w:w="1559"/>
        <w:gridCol w:w="851"/>
        <w:gridCol w:w="615"/>
        <w:gridCol w:w="1354"/>
        <w:gridCol w:w="1007"/>
        <w:gridCol w:w="156"/>
        <w:gridCol w:w="1079"/>
      </w:tblGrid>
      <w:tr w14:paraId="1A6D29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gridBefore w:val="1"/>
          <w:wBefore w:w="478" w:type="dxa"/>
          <w:trHeight w:val="613" w:hRule="atLeast"/>
          <w:jc w:val="center"/>
        </w:trPr>
        <w:tc>
          <w:tcPr>
            <w:tcW w:w="9533" w:type="dxa"/>
            <w:gridSpan w:val="9"/>
            <w:tcBorders>
              <w:top w:val="single" w:color="auto" w:sz="4" w:space="0"/>
              <w:left w:val="single" w:color="auto" w:sz="4" w:space="0"/>
              <w:bottom w:val="single" w:color="auto" w:sz="4" w:space="0"/>
              <w:right w:val="single" w:color="auto" w:sz="4" w:space="0"/>
            </w:tcBorders>
            <w:noWrap w:val="0"/>
            <w:vAlign w:val="center"/>
          </w:tcPr>
          <w:p w14:paraId="503D8D49">
            <w:pPr>
              <w:suppressAutoHyphens/>
              <w:bidi w:val="0"/>
              <w:rPr>
                <w:rFonts w:ascii="仿宋" w:hAnsi="仿宋" w:eastAsia="仿宋"/>
                <w:sz w:val="21"/>
                <w:szCs w:val="22"/>
              </w:rPr>
            </w:pPr>
            <w:r>
              <w:rPr>
                <w:rFonts w:hint="eastAsia" w:ascii="仿宋" w:hAnsi="仿宋" w:eastAsia="仿宋" w:cs="黑体"/>
                <w:bCs/>
                <w:sz w:val="28"/>
                <w:szCs w:val="28"/>
              </w:rPr>
              <w:t>一、基本情况</w:t>
            </w:r>
          </w:p>
        </w:tc>
      </w:tr>
      <w:tr w14:paraId="111FE8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gridBefore w:val="1"/>
          <w:wBefore w:w="478" w:type="dxa"/>
          <w:trHeight w:val="769" w:hRule="atLeast"/>
          <w:jc w:val="center"/>
        </w:trPr>
        <w:tc>
          <w:tcPr>
            <w:tcW w:w="1245" w:type="dxa"/>
            <w:tcBorders>
              <w:top w:val="single" w:color="auto" w:sz="4" w:space="0"/>
              <w:left w:val="single" w:color="auto" w:sz="4" w:space="0"/>
              <w:bottom w:val="single" w:color="auto" w:sz="4" w:space="0"/>
              <w:right w:val="single" w:color="auto" w:sz="4" w:space="0"/>
            </w:tcBorders>
            <w:noWrap w:val="0"/>
            <w:vAlign w:val="center"/>
          </w:tcPr>
          <w:p w14:paraId="1BFD6958">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单位名称</w:t>
            </w:r>
          </w:p>
        </w:tc>
        <w:tc>
          <w:tcPr>
            <w:tcW w:w="8288" w:type="dxa"/>
            <w:gridSpan w:val="8"/>
            <w:tcBorders>
              <w:top w:val="single" w:color="auto" w:sz="4" w:space="0"/>
              <w:left w:val="single" w:color="auto" w:sz="4" w:space="0"/>
              <w:bottom w:val="single" w:color="auto" w:sz="4" w:space="0"/>
              <w:right w:val="single" w:color="auto" w:sz="4" w:space="0"/>
            </w:tcBorders>
            <w:noWrap w:val="0"/>
            <w:vAlign w:val="center"/>
          </w:tcPr>
          <w:p w14:paraId="34D8046D">
            <w:pPr>
              <w:suppressAutoHyphens/>
              <w:bidi w:val="0"/>
              <w:jc w:val="center"/>
              <w:rPr>
                <w:rFonts w:ascii="仿宋" w:hAnsi="仿宋" w:eastAsia="仿宋" w:cs="仿宋_GB2312"/>
                <w:bCs/>
                <w:sz w:val="24"/>
                <w:szCs w:val="22"/>
              </w:rPr>
            </w:pPr>
          </w:p>
        </w:tc>
      </w:tr>
      <w:tr w14:paraId="5DDF06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gridBefore w:val="1"/>
          <w:wBefore w:w="478" w:type="dxa"/>
          <w:cantSplit/>
          <w:trHeight w:val="609" w:hRule="atLeast"/>
          <w:jc w:val="center"/>
        </w:trPr>
        <w:tc>
          <w:tcPr>
            <w:tcW w:w="1245" w:type="dxa"/>
            <w:tcBorders>
              <w:top w:val="single" w:color="auto" w:sz="4" w:space="0"/>
              <w:left w:val="single" w:color="auto" w:sz="4" w:space="0"/>
              <w:bottom w:val="single" w:color="auto" w:sz="4" w:space="0"/>
              <w:right w:val="single" w:color="auto" w:sz="4" w:space="0"/>
            </w:tcBorders>
            <w:noWrap w:val="0"/>
            <w:vAlign w:val="center"/>
          </w:tcPr>
          <w:p w14:paraId="0DE9B8A8">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地    址</w:t>
            </w:r>
          </w:p>
        </w:tc>
        <w:tc>
          <w:tcPr>
            <w:tcW w:w="3226" w:type="dxa"/>
            <w:gridSpan w:val="2"/>
            <w:tcBorders>
              <w:top w:val="single" w:color="auto" w:sz="4" w:space="0"/>
              <w:left w:val="single" w:color="auto" w:sz="4" w:space="0"/>
              <w:bottom w:val="single" w:color="auto" w:sz="4" w:space="0"/>
              <w:right w:val="single" w:color="auto" w:sz="4" w:space="0"/>
            </w:tcBorders>
            <w:noWrap w:val="0"/>
            <w:vAlign w:val="center"/>
          </w:tcPr>
          <w:p w14:paraId="1F104AB7">
            <w:pPr>
              <w:suppressAutoHyphens/>
              <w:bidi w:val="0"/>
              <w:jc w:val="center"/>
              <w:rPr>
                <w:rFonts w:ascii="仿宋" w:hAnsi="仿宋" w:eastAsia="仿宋" w:cs="仿宋_GB2312"/>
                <w:bCs/>
                <w:sz w:val="24"/>
                <w:szCs w:val="22"/>
              </w:rPr>
            </w:pP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14:paraId="1C082D8B">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邮   编</w:t>
            </w:r>
          </w:p>
        </w:tc>
        <w:tc>
          <w:tcPr>
            <w:tcW w:w="3596" w:type="dxa"/>
            <w:gridSpan w:val="4"/>
            <w:tcBorders>
              <w:top w:val="single" w:color="auto" w:sz="4" w:space="0"/>
              <w:left w:val="single" w:color="auto" w:sz="4" w:space="0"/>
              <w:bottom w:val="single" w:color="auto" w:sz="4" w:space="0"/>
              <w:right w:val="single" w:color="auto" w:sz="4" w:space="0"/>
            </w:tcBorders>
            <w:noWrap w:val="0"/>
            <w:vAlign w:val="center"/>
          </w:tcPr>
          <w:p w14:paraId="1B1AB9D4">
            <w:pPr>
              <w:suppressAutoHyphens/>
              <w:bidi w:val="0"/>
              <w:jc w:val="center"/>
              <w:rPr>
                <w:rFonts w:ascii="仿宋" w:hAnsi="仿宋" w:eastAsia="仿宋" w:cs="仿宋_GB2312"/>
                <w:bCs/>
                <w:sz w:val="24"/>
                <w:szCs w:val="22"/>
              </w:rPr>
            </w:pPr>
          </w:p>
        </w:tc>
      </w:tr>
      <w:tr w14:paraId="19440A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gridBefore w:val="1"/>
          <w:wBefore w:w="478" w:type="dxa"/>
          <w:cantSplit/>
          <w:trHeight w:val="609" w:hRule="atLeast"/>
          <w:jc w:val="center"/>
        </w:trPr>
        <w:tc>
          <w:tcPr>
            <w:tcW w:w="1245" w:type="dxa"/>
            <w:tcBorders>
              <w:top w:val="single" w:color="auto" w:sz="4" w:space="0"/>
              <w:left w:val="single" w:color="auto" w:sz="4" w:space="0"/>
              <w:bottom w:val="single" w:color="auto" w:sz="4" w:space="0"/>
              <w:right w:val="single" w:color="auto" w:sz="4" w:space="0"/>
            </w:tcBorders>
            <w:noWrap w:val="0"/>
            <w:vAlign w:val="center"/>
          </w:tcPr>
          <w:p w14:paraId="7CC7534C">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企业性质</w:t>
            </w:r>
          </w:p>
        </w:tc>
        <w:tc>
          <w:tcPr>
            <w:tcW w:w="1667" w:type="dxa"/>
            <w:tcBorders>
              <w:top w:val="single" w:color="auto" w:sz="4" w:space="0"/>
              <w:left w:val="single" w:color="auto" w:sz="4" w:space="0"/>
              <w:bottom w:val="single" w:color="auto" w:sz="4" w:space="0"/>
              <w:right w:val="single" w:color="auto" w:sz="4" w:space="0"/>
            </w:tcBorders>
            <w:noWrap w:val="0"/>
            <w:vAlign w:val="center"/>
          </w:tcPr>
          <w:p w14:paraId="2F6FBF91">
            <w:pPr>
              <w:suppressAutoHyphens/>
              <w:bidi w:val="0"/>
              <w:jc w:val="center"/>
              <w:rPr>
                <w:rFonts w:ascii="仿宋" w:hAnsi="仿宋" w:eastAsia="仿宋" w:cs="仿宋_GB2312"/>
                <w:bCs/>
                <w:sz w:val="24"/>
                <w:szCs w:val="22"/>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DEA0D4D">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注册资金</w:t>
            </w: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14:paraId="2B4456D6">
            <w:pPr>
              <w:suppressAutoHyphens/>
              <w:bidi w:val="0"/>
              <w:jc w:val="center"/>
              <w:rPr>
                <w:rFonts w:ascii="仿宋" w:hAnsi="仿宋" w:eastAsia="仿宋" w:cs="仿宋_GB2312"/>
                <w:bCs/>
                <w:sz w:val="24"/>
                <w:szCs w:val="22"/>
              </w:rPr>
            </w:pPr>
          </w:p>
        </w:tc>
        <w:tc>
          <w:tcPr>
            <w:tcW w:w="1354" w:type="dxa"/>
            <w:tcBorders>
              <w:top w:val="single" w:color="auto" w:sz="4" w:space="0"/>
              <w:left w:val="single" w:color="auto" w:sz="4" w:space="0"/>
              <w:bottom w:val="single" w:color="auto" w:sz="4" w:space="0"/>
              <w:right w:val="single" w:color="auto" w:sz="4" w:space="0"/>
            </w:tcBorders>
            <w:noWrap w:val="0"/>
            <w:vAlign w:val="center"/>
          </w:tcPr>
          <w:p w14:paraId="1D5E46BB">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职工人数</w:t>
            </w:r>
          </w:p>
        </w:tc>
        <w:tc>
          <w:tcPr>
            <w:tcW w:w="2242" w:type="dxa"/>
            <w:gridSpan w:val="3"/>
            <w:tcBorders>
              <w:top w:val="single" w:color="auto" w:sz="4" w:space="0"/>
              <w:left w:val="single" w:color="auto" w:sz="4" w:space="0"/>
              <w:bottom w:val="single" w:color="auto" w:sz="4" w:space="0"/>
              <w:right w:val="single" w:color="auto" w:sz="4" w:space="0"/>
            </w:tcBorders>
            <w:noWrap w:val="0"/>
            <w:vAlign w:val="center"/>
          </w:tcPr>
          <w:p w14:paraId="42A5CA6F">
            <w:pPr>
              <w:suppressAutoHyphens/>
              <w:bidi w:val="0"/>
              <w:jc w:val="center"/>
              <w:rPr>
                <w:rFonts w:ascii="仿宋" w:hAnsi="仿宋" w:eastAsia="仿宋"/>
                <w:sz w:val="21"/>
                <w:szCs w:val="22"/>
              </w:rPr>
            </w:pPr>
          </w:p>
        </w:tc>
      </w:tr>
      <w:tr w14:paraId="1540B9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gridBefore w:val="1"/>
          <w:wBefore w:w="478" w:type="dxa"/>
          <w:cantSplit/>
          <w:trHeight w:val="547" w:hRule="atLeast"/>
          <w:jc w:val="center"/>
        </w:trPr>
        <w:tc>
          <w:tcPr>
            <w:tcW w:w="1245" w:type="dxa"/>
            <w:vMerge w:val="restart"/>
            <w:tcBorders>
              <w:top w:val="single" w:color="auto" w:sz="4" w:space="0"/>
              <w:left w:val="single" w:color="auto" w:sz="4" w:space="0"/>
              <w:bottom w:val="single" w:color="auto" w:sz="4" w:space="0"/>
              <w:right w:val="single" w:color="auto" w:sz="4" w:space="0"/>
            </w:tcBorders>
            <w:noWrap w:val="0"/>
            <w:vAlign w:val="center"/>
          </w:tcPr>
          <w:p w14:paraId="5CAF1A89">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企业法人</w:t>
            </w:r>
          </w:p>
        </w:tc>
        <w:tc>
          <w:tcPr>
            <w:tcW w:w="1667" w:type="dxa"/>
            <w:tcBorders>
              <w:top w:val="single" w:color="auto" w:sz="4" w:space="0"/>
              <w:left w:val="single" w:color="auto" w:sz="4" w:space="0"/>
              <w:bottom w:val="single" w:color="auto" w:sz="4" w:space="0"/>
              <w:right w:val="single" w:color="auto" w:sz="4" w:space="0"/>
            </w:tcBorders>
            <w:noWrap w:val="0"/>
            <w:vAlign w:val="center"/>
          </w:tcPr>
          <w:p w14:paraId="0CC74999">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姓    名</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5B1FEA8">
            <w:pPr>
              <w:suppressAutoHyphens/>
              <w:bidi w:val="0"/>
              <w:jc w:val="center"/>
              <w:rPr>
                <w:rFonts w:ascii="仿宋" w:hAnsi="仿宋" w:eastAsia="仿宋" w:cs="仿宋_GB2312"/>
                <w:bCs/>
                <w:sz w:val="24"/>
                <w:szCs w:val="22"/>
              </w:rPr>
            </w:pP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14:paraId="3F3DD309">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职    务</w:t>
            </w:r>
          </w:p>
        </w:tc>
        <w:tc>
          <w:tcPr>
            <w:tcW w:w="1354" w:type="dxa"/>
            <w:tcBorders>
              <w:top w:val="single" w:color="auto" w:sz="4" w:space="0"/>
              <w:left w:val="single" w:color="auto" w:sz="4" w:space="0"/>
              <w:bottom w:val="single" w:color="auto" w:sz="4" w:space="0"/>
              <w:right w:val="single" w:color="auto" w:sz="4" w:space="0"/>
            </w:tcBorders>
            <w:noWrap w:val="0"/>
            <w:vAlign w:val="center"/>
          </w:tcPr>
          <w:p w14:paraId="78FB7DB7">
            <w:pPr>
              <w:suppressAutoHyphens/>
              <w:bidi w:val="0"/>
              <w:jc w:val="center"/>
              <w:rPr>
                <w:rFonts w:ascii="仿宋" w:hAnsi="仿宋" w:eastAsia="仿宋" w:cs="仿宋_GB2312"/>
                <w:bCs/>
                <w:sz w:val="24"/>
                <w:szCs w:val="22"/>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14:paraId="75592BEE">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职  称</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14:paraId="65D1CD56">
            <w:pPr>
              <w:suppressAutoHyphens/>
              <w:bidi w:val="0"/>
              <w:jc w:val="center"/>
              <w:rPr>
                <w:rFonts w:ascii="仿宋" w:hAnsi="仿宋" w:eastAsia="仿宋"/>
                <w:sz w:val="21"/>
                <w:szCs w:val="22"/>
              </w:rPr>
            </w:pPr>
          </w:p>
        </w:tc>
      </w:tr>
      <w:tr w14:paraId="3A966B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gridBefore w:val="1"/>
          <w:wBefore w:w="478" w:type="dxa"/>
          <w:cantSplit/>
          <w:trHeight w:val="507" w:hRule="atLeast"/>
          <w:jc w:val="center"/>
        </w:trPr>
        <w:tc>
          <w:tcPr>
            <w:tcW w:w="1245" w:type="dxa"/>
            <w:vMerge w:val="continue"/>
            <w:tcBorders>
              <w:top w:val="single" w:color="auto" w:sz="4" w:space="0"/>
              <w:left w:val="single" w:color="auto" w:sz="4" w:space="0"/>
              <w:bottom w:val="single" w:color="auto" w:sz="4" w:space="0"/>
              <w:right w:val="single" w:color="auto" w:sz="4" w:space="0"/>
            </w:tcBorders>
            <w:noWrap w:val="0"/>
            <w:vAlign w:val="center"/>
          </w:tcPr>
          <w:p w14:paraId="03B47AAA">
            <w:pPr>
              <w:suppressAutoHyphens/>
              <w:bidi w:val="0"/>
              <w:jc w:val="left"/>
              <w:rPr>
                <w:rFonts w:ascii="仿宋" w:hAnsi="仿宋" w:eastAsia="仿宋" w:cs="仿宋_GB2312"/>
                <w:bCs/>
                <w:sz w:val="24"/>
                <w:szCs w:val="22"/>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14:paraId="767D5BBB">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办公电话</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C4185C8">
            <w:pPr>
              <w:suppressAutoHyphens/>
              <w:bidi w:val="0"/>
              <w:jc w:val="center"/>
              <w:rPr>
                <w:rFonts w:ascii="仿宋" w:hAnsi="仿宋" w:eastAsia="仿宋" w:cs="仿宋_GB2312"/>
                <w:bCs/>
                <w:sz w:val="24"/>
                <w:szCs w:val="22"/>
              </w:rPr>
            </w:pP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14:paraId="55AE2A8C">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手    机</w:t>
            </w:r>
          </w:p>
        </w:tc>
        <w:tc>
          <w:tcPr>
            <w:tcW w:w="1354" w:type="dxa"/>
            <w:tcBorders>
              <w:top w:val="single" w:color="auto" w:sz="4" w:space="0"/>
              <w:left w:val="single" w:color="auto" w:sz="4" w:space="0"/>
              <w:bottom w:val="single" w:color="auto" w:sz="4" w:space="0"/>
              <w:right w:val="single" w:color="auto" w:sz="4" w:space="0"/>
            </w:tcBorders>
            <w:noWrap w:val="0"/>
            <w:vAlign w:val="center"/>
          </w:tcPr>
          <w:p w14:paraId="01F80D02">
            <w:pPr>
              <w:suppressAutoHyphens/>
              <w:bidi w:val="0"/>
              <w:jc w:val="center"/>
              <w:rPr>
                <w:rFonts w:ascii="仿宋" w:hAnsi="仿宋" w:eastAsia="仿宋" w:cs="仿宋_GB2312"/>
                <w:bCs/>
                <w:sz w:val="24"/>
                <w:szCs w:val="22"/>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14:paraId="7EE0BBA8">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传  真</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14:paraId="29DC9341">
            <w:pPr>
              <w:suppressAutoHyphens/>
              <w:bidi w:val="0"/>
              <w:jc w:val="center"/>
              <w:rPr>
                <w:rFonts w:ascii="仿宋" w:hAnsi="仿宋" w:eastAsia="仿宋"/>
                <w:sz w:val="21"/>
                <w:szCs w:val="22"/>
              </w:rPr>
            </w:pPr>
          </w:p>
        </w:tc>
      </w:tr>
      <w:tr w14:paraId="5CCD5A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gridBefore w:val="1"/>
          <w:wBefore w:w="478" w:type="dxa"/>
          <w:trHeight w:val="559" w:hRule="atLeast"/>
          <w:jc w:val="center"/>
        </w:trPr>
        <w:tc>
          <w:tcPr>
            <w:tcW w:w="1245" w:type="dxa"/>
            <w:tcBorders>
              <w:top w:val="single" w:color="auto" w:sz="4" w:space="0"/>
              <w:left w:val="single" w:color="auto" w:sz="4" w:space="0"/>
              <w:bottom w:val="single" w:color="auto" w:sz="4" w:space="0"/>
              <w:right w:val="single" w:color="auto" w:sz="4" w:space="0"/>
            </w:tcBorders>
            <w:noWrap w:val="0"/>
            <w:vAlign w:val="center"/>
          </w:tcPr>
          <w:p w14:paraId="330733B9">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联 系 人</w:t>
            </w:r>
          </w:p>
        </w:tc>
        <w:tc>
          <w:tcPr>
            <w:tcW w:w="1667" w:type="dxa"/>
            <w:tcBorders>
              <w:top w:val="single" w:color="auto" w:sz="4" w:space="0"/>
              <w:left w:val="single" w:color="auto" w:sz="4" w:space="0"/>
              <w:bottom w:val="single" w:color="auto" w:sz="4" w:space="0"/>
              <w:right w:val="single" w:color="auto" w:sz="4" w:space="0"/>
            </w:tcBorders>
            <w:noWrap w:val="0"/>
            <w:vAlign w:val="center"/>
          </w:tcPr>
          <w:p w14:paraId="6576AEE5">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姓    名</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451AFB5">
            <w:pPr>
              <w:suppressAutoHyphens/>
              <w:bidi w:val="0"/>
              <w:jc w:val="center"/>
              <w:rPr>
                <w:rFonts w:ascii="仿宋" w:hAnsi="仿宋" w:eastAsia="仿宋" w:cs="仿宋_GB2312"/>
                <w:bCs/>
                <w:sz w:val="24"/>
                <w:szCs w:val="22"/>
              </w:rPr>
            </w:pP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14:paraId="145F56CC">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电    话</w:t>
            </w:r>
          </w:p>
        </w:tc>
        <w:tc>
          <w:tcPr>
            <w:tcW w:w="1354" w:type="dxa"/>
            <w:tcBorders>
              <w:top w:val="single" w:color="auto" w:sz="4" w:space="0"/>
              <w:left w:val="single" w:color="auto" w:sz="4" w:space="0"/>
              <w:bottom w:val="single" w:color="auto" w:sz="4" w:space="0"/>
              <w:right w:val="single" w:color="auto" w:sz="4" w:space="0"/>
            </w:tcBorders>
            <w:noWrap w:val="0"/>
            <w:vAlign w:val="center"/>
          </w:tcPr>
          <w:p w14:paraId="6CA63299">
            <w:pPr>
              <w:suppressAutoHyphens/>
              <w:bidi w:val="0"/>
              <w:jc w:val="center"/>
              <w:rPr>
                <w:rFonts w:ascii="仿宋" w:hAnsi="仿宋" w:eastAsia="仿宋" w:cs="仿宋_GB2312"/>
                <w:bCs/>
                <w:sz w:val="24"/>
                <w:szCs w:val="22"/>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14:paraId="7928917D">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传  真</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14:paraId="1472236D">
            <w:pPr>
              <w:suppressAutoHyphens/>
              <w:bidi w:val="0"/>
              <w:jc w:val="center"/>
              <w:rPr>
                <w:rFonts w:ascii="仿宋" w:hAnsi="仿宋" w:eastAsia="仿宋"/>
                <w:sz w:val="21"/>
                <w:szCs w:val="22"/>
              </w:rPr>
            </w:pPr>
          </w:p>
        </w:tc>
      </w:tr>
      <w:tr w14:paraId="0CDDB6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gridBefore w:val="1"/>
          <w:wBefore w:w="478" w:type="dxa"/>
          <w:cantSplit/>
          <w:trHeight w:val="647" w:hRule="atLeast"/>
          <w:jc w:val="center"/>
        </w:trPr>
        <w:tc>
          <w:tcPr>
            <w:tcW w:w="1245" w:type="dxa"/>
            <w:tcBorders>
              <w:top w:val="single" w:color="auto" w:sz="4" w:space="0"/>
              <w:left w:val="single" w:color="auto" w:sz="4" w:space="0"/>
              <w:bottom w:val="single" w:color="auto" w:sz="4" w:space="0"/>
              <w:right w:val="single" w:color="auto" w:sz="4" w:space="0"/>
            </w:tcBorders>
            <w:noWrap w:val="0"/>
            <w:vAlign w:val="center"/>
          </w:tcPr>
          <w:p w14:paraId="7C1AA619">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企业资产总额</w:t>
            </w:r>
          </w:p>
        </w:tc>
        <w:tc>
          <w:tcPr>
            <w:tcW w:w="1667" w:type="dxa"/>
            <w:tcBorders>
              <w:top w:val="single" w:color="auto" w:sz="4" w:space="0"/>
              <w:left w:val="single" w:color="auto" w:sz="4" w:space="0"/>
              <w:bottom w:val="single" w:color="auto" w:sz="4" w:space="0"/>
              <w:right w:val="single" w:color="auto" w:sz="4" w:space="0"/>
            </w:tcBorders>
            <w:noWrap w:val="0"/>
            <w:vAlign w:val="center"/>
          </w:tcPr>
          <w:p w14:paraId="11E92AC8">
            <w:pPr>
              <w:suppressAutoHyphens/>
              <w:bidi w:val="0"/>
              <w:jc w:val="center"/>
              <w:rPr>
                <w:rFonts w:ascii="仿宋" w:hAnsi="仿宋" w:eastAsia="仿宋" w:cs="仿宋_GB2312"/>
                <w:bCs/>
                <w:sz w:val="24"/>
                <w:szCs w:val="22"/>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E5B5B73">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企业净资产</w:t>
            </w: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14:paraId="19A742D3">
            <w:pPr>
              <w:suppressAutoHyphens/>
              <w:bidi w:val="0"/>
              <w:jc w:val="center"/>
              <w:rPr>
                <w:rFonts w:ascii="仿宋" w:hAnsi="仿宋" w:eastAsia="仿宋" w:cs="仿宋_GB2312"/>
                <w:bCs/>
                <w:sz w:val="24"/>
                <w:szCs w:val="22"/>
              </w:rPr>
            </w:pPr>
          </w:p>
        </w:tc>
        <w:tc>
          <w:tcPr>
            <w:tcW w:w="1354" w:type="dxa"/>
            <w:tcBorders>
              <w:top w:val="single" w:color="auto" w:sz="4" w:space="0"/>
              <w:left w:val="single" w:color="auto" w:sz="4" w:space="0"/>
              <w:bottom w:val="single" w:color="auto" w:sz="4" w:space="0"/>
              <w:right w:val="single" w:color="auto" w:sz="4" w:space="0"/>
            </w:tcBorders>
            <w:noWrap w:val="0"/>
            <w:vAlign w:val="center"/>
          </w:tcPr>
          <w:p w14:paraId="15295BCE">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研发人数</w:t>
            </w:r>
          </w:p>
        </w:tc>
        <w:tc>
          <w:tcPr>
            <w:tcW w:w="2242" w:type="dxa"/>
            <w:gridSpan w:val="3"/>
            <w:tcBorders>
              <w:top w:val="single" w:color="auto" w:sz="4" w:space="0"/>
              <w:left w:val="single" w:color="auto" w:sz="4" w:space="0"/>
              <w:bottom w:val="single" w:color="auto" w:sz="4" w:space="0"/>
              <w:right w:val="single" w:color="auto" w:sz="4" w:space="0"/>
            </w:tcBorders>
            <w:noWrap w:val="0"/>
            <w:vAlign w:val="center"/>
          </w:tcPr>
          <w:p w14:paraId="5D03793F">
            <w:pPr>
              <w:suppressAutoHyphens/>
              <w:bidi w:val="0"/>
              <w:jc w:val="center"/>
              <w:rPr>
                <w:rFonts w:ascii="仿宋" w:hAnsi="仿宋" w:eastAsia="仿宋"/>
                <w:sz w:val="21"/>
                <w:szCs w:val="22"/>
              </w:rPr>
            </w:pPr>
          </w:p>
        </w:tc>
      </w:tr>
      <w:tr w14:paraId="351BD0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gridBefore w:val="1"/>
          <w:wBefore w:w="478" w:type="dxa"/>
          <w:cantSplit/>
          <w:trHeight w:val="604" w:hRule="atLeast"/>
          <w:jc w:val="center"/>
        </w:trPr>
        <w:tc>
          <w:tcPr>
            <w:tcW w:w="1245" w:type="dxa"/>
            <w:vMerge w:val="restart"/>
            <w:tcBorders>
              <w:top w:val="single" w:color="auto" w:sz="4" w:space="0"/>
              <w:left w:val="single" w:color="auto" w:sz="4" w:space="0"/>
              <w:bottom w:val="single" w:color="auto" w:sz="4" w:space="0"/>
              <w:right w:val="single" w:color="auto" w:sz="4" w:space="0"/>
            </w:tcBorders>
            <w:noWrap w:val="0"/>
            <w:vAlign w:val="center"/>
          </w:tcPr>
          <w:p w14:paraId="238B4FD4">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企业生产状况</w:t>
            </w:r>
          </w:p>
        </w:tc>
        <w:tc>
          <w:tcPr>
            <w:tcW w:w="1667" w:type="dxa"/>
            <w:tcBorders>
              <w:top w:val="single" w:color="auto" w:sz="4" w:space="0"/>
              <w:left w:val="single" w:color="auto" w:sz="4" w:space="0"/>
              <w:bottom w:val="nil"/>
              <w:right w:val="nil"/>
            </w:tcBorders>
            <w:noWrap w:val="0"/>
            <w:vAlign w:val="center"/>
          </w:tcPr>
          <w:p w14:paraId="76A52292">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上年营业额</w:t>
            </w:r>
          </w:p>
        </w:tc>
        <w:tc>
          <w:tcPr>
            <w:tcW w:w="2410" w:type="dxa"/>
            <w:gridSpan w:val="2"/>
            <w:tcBorders>
              <w:top w:val="single" w:color="auto" w:sz="4" w:space="0"/>
              <w:left w:val="single" w:color="auto" w:sz="4" w:space="0"/>
              <w:bottom w:val="nil"/>
              <w:right w:val="nil"/>
            </w:tcBorders>
            <w:noWrap w:val="0"/>
            <w:vAlign w:val="center"/>
          </w:tcPr>
          <w:p w14:paraId="6E9B1AE5">
            <w:pPr>
              <w:suppressAutoHyphens/>
              <w:bidi w:val="0"/>
              <w:jc w:val="center"/>
              <w:rPr>
                <w:rFonts w:ascii="仿宋" w:hAnsi="仿宋" w:eastAsia="仿宋" w:cs="仿宋_GB2312"/>
                <w:bCs/>
                <w:sz w:val="24"/>
                <w:szCs w:val="22"/>
              </w:rPr>
            </w:pPr>
          </w:p>
        </w:tc>
        <w:tc>
          <w:tcPr>
            <w:tcW w:w="1969" w:type="dxa"/>
            <w:gridSpan w:val="2"/>
            <w:tcBorders>
              <w:top w:val="single" w:color="auto" w:sz="4" w:space="0"/>
              <w:left w:val="single" w:color="auto" w:sz="4" w:space="0"/>
              <w:bottom w:val="nil"/>
              <w:right w:val="nil"/>
            </w:tcBorders>
            <w:noWrap w:val="0"/>
            <w:vAlign w:val="center"/>
          </w:tcPr>
          <w:p w14:paraId="14BDAFD7">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上年净利润</w:t>
            </w:r>
          </w:p>
        </w:tc>
        <w:tc>
          <w:tcPr>
            <w:tcW w:w="2242" w:type="dxa"/>
            <w:gridSpan w:val="3"/>
            <w:tcBorders>
              <w:top w:val="single" w:color="auto" w:sz="4" w:space="0"/>
              <w:left w:val="single" w:color="auto" w:sz="4" w:space="0"/>
              <w:bottom w:val="nil"/>
              <w:right w:val="single" w:color="auto" w:sz="4" w:space="0"/>
            </w:tcBorders>
            <w:noWrap w:val="0"/>
            <w:vAlign w:val="center"/>
          </w:tcPr>
          <w:p w14:paraId="1A73FE86">
            <w:pPr>
              <w:suppressAutoHyphens/>
              <w:bidi w:val="0"/>
              <w:jc w:val="center"/>
              <w:rPr>
                <w:rFonts w:ascii="仿宋" w:hAnsi="仿宋" w:eastAsia="仿宋"/>
                <w:sz w:val="21"/>
                <w:szCs w:val="22"/>
              </w:rPr>
            </w:pPr>
          </w:p>
        </w:tc>
      </w:tr>
      <w:tr w14:paraId="243677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gridBefore w:val="1"/>
          <w:wBefore w:w="478" w:type="dxa"/>
          <w:cantSplit/>
          <w:trHeight w:val="629" w:hRule="atLeast"/>
          <w:jc w:val="center"/>
        </w:trPr>
        <w:tc>
          <w:tcPr>
            <w:tcW w:w="1245" w:type="dxa"/>
            <w:vMerge w:val="continue"/>
            <w:tcBorders>
              <w:top w:val="single" w:color="auto" w:sz="4" w:space="0"/>
              <w:left w:val="single" w:color="auto" w:sz="4" w:space="0"/>
              <w:bottom w:val="single" w:color="auto" w:sz="4" w:space="0"/>
              <w:right w:val="single" w:color="auto" w:sz="4" w:space="0"/>
            </w:tcBorders>
            <w:noWrap w:val="0"/>
            <w:vAlign w:val="center"/>
          </w:tcPr>
          <w:p w14:paraId="7C3BB5C3">
            <w:pPr>
              <w:suppressAutoHyphens/>
              <w:bidi w:val="0"/>
              <w:jc w:val="left"/>
              <w:rPr>
                <w:rFonts w:ascii="仿宋" w:hAnsi="仿宋" w:eastAsia="仿宋" w:cs="仿宋_GB2312"/>
                <w:bCs/>
                <w:sz w:val="24"/>
                <w:szCs w:val="22"/>
              </w:rPr>
            </w:pPr>
          </w:p>
        </w:tc>
        <w:tc>
          <w:tcPr>
            <w:tcW w:w="1667" w:type="dxa"/>
            <w:tcBorders>
              <w:top w:val="single" w:color="auto" w:sz="4" w:space="0"/>
              <w:left w:val="single" w:color="auto" w:sz="4" w:space="0"/>
              <w:bottom w:val="nil"/>
              <w:right w:val="nil"/>
            </w:tcBorders>
            <w:noWrap w:val="0"/>
            <w:vAlign w:val="center"/>
          </w:tcPr>
          <w:p w14:paraId="0ACEFF1E">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主营业务收入</w:t>
            </w:r>
          </w:p>
        </w:tc>
        <w:tc>
          <w:tcPr>
            <w:tcW w:w="2410" w:type="dxa"/>
            <w:gridSpan w:val="2"/>
            <w:tcBorders>
              <w:top w:val="single" w:color="auto" w:sz="4" w:space="0"/>
              <w:left w:val="single" w:color="auto" w:sz="4" w:space="0"/>
              <w:bottom w:val="nil"/>
              <w:right w:val="nil"/>
            </w:tcBorders>
            <w:noWrap w:val="0"/>
            <w:vAlign w:val="center"/>
          </w:tcPr>
          <w:p w14:paraId="0F2E257E">
            <w:pPr>
              <w:suppressAutoHyphens/>
              <w:bidi w:val="0"/>
              <w:jc w:val="center"/>
              <w:rPr>
                <w:rFonts w:ascii="仿宋" w:hAnsi="仿宋" w:eastAsia="仿宋" w:cs="仿宋_GB2312"/>
                <w:bCs/>
                <w:sz w:val="24"/>
                <w:szCs w:val="22"/>
              </w:rPr>
            </w:pPr>
          </w:p>
        </w:tc>
        <w:tc>
          <w:tcPr>
            <w:tcW w:w="1969" w:type="dxa"/>
            <w:gridSpan w:val="2"/>
            <w:tcBorders>
              <w:top w:val="single" w:color="auto" w:sz="4" w:space="0"/>
              <w:left w:val="single" w:color="auto" w:sz="4" w:space="0"/>
              <w:bottom w:val="nil"/>
              <w:right w:val="nil"/>
            </w:tcBorders>
            <w:noWrap w:val="0"/>
            <w:vAlign w:val="center"/>
          </w:tcPr>
          <w:p w14:paraId="166647C2">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上年研发投入</w:t>
            </w:r>
          </w:p>
        </w:tc>
        <w:tc>
          <w:tcPr>
            <w:tcW w:w="2242" w:type="dxa"/>
            <w:gridSpan w:val="3"/>
            <w:tcBorders>
              <w:top w:val="single" w:color="auto" w:sz="4" w:space="0"/>
              <w:left w:val="single" w:color="auto" w:sz="4" w:space="0"/>
              <w:bottom w:val="nil"/>
              <w:right w:val="single" w:color="auto" w:sz="4" w:space="0"/>
            </w:tcBorders>
            <w:noWrap w:val="0"/>
            <w:vAlign w:val="center"/>
          </w:tcPr>
          <w:p w14:paraId="4722CD82">
            <w:pPr>
              <w:suppressAutoHyphens/>
              <w:bidi w:val="0"/>
              <w:jc w:val="center"/>
              <w:rPr>
                <w:rFonts w:ascii="仿宋" w:hAnsi="仿宋" w:eastAsia="仿宋"/>
                <w:sz w:val="21"/>
                <w:szCs w:val="22"/>
              </w:rPr>
            </w:pPr>
          </w:p>
        </w:tc>
      </w:tr>
      <w:tr w14:paraId="41D150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gridBefore w:val="1"/>
          <w:wBefore w:w="478" w:type="dxa"/>
          <w:cantSplit/>
          <w:trHeight w:val="5944" w:hRule="atLeast"/>
          <w:jc w:val="center"/>
        </w:trPr>
        <w:tc>
          <w:tcPr>
            <w:tcW w:w="9533" w:type="dxa"/>
            <w:gridSpan w:val="9"/>
            <w:tcBorders>
              <w:top w:val="single" w:color="auto" w:sz="4" w:space="0"/>
              <w:left w:val="single" w:color="auto" w:sz="4" w:space="0"/>
              <w:bottom w:val="single" w:color="auto" w:sz="4" w:space="0"/>
              <w:right w:val="single" w:color="auto" w:sz="4" w:space="0"/>
            </w:tcBorders>
            <w:noWrap w:val="0"/>
            <w:vAlign w:val="top"/>
          </w:tcPr>
          <w:p w14:paraId="357F46F3">
            <w:pPr>
              <w:suppressAutoHyphens/>
              <w:bidi w:val="0"/>
              <w:rPr>
                <w:rFonts w:ascii="仿宋" w:hAnsi="仿宋" w:eastAsia="仿宋"/>
                <w:sz w:val="21"/>
                <w:szCs w:val="22"/>
              </w:rPr>
            </w:pPr>
            <w:r>
              <w:rPr>
                <w:rFonts w:hint="eastAsia" w:ascii="仿宋" w:hAnsi="仿宋" w:eastAsia="仿宋" w:cs="黑体"/>
                <w:bCs/>
                <w:sz w:val="28"/>
                <w:szCs w:val="28"/>
              </w:rPr>
              <w:t>二、装配式建筑发展简要情况</w:t>
            </w:r>
          </w:p>
        </w:tc>
      </w:tr>
      <w:tr w14:paraId="215CA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79" w:type="dxa"/>
          <w:trHeight w:val="2171" w:hRule="atLeast"/>
          <w:jc w:val="center"/>
        </w:trPr>
        <w:tc>
          <w:tcPr>
            <w:tcW w:w="8932" w:type="dxa"/>
            <w:gridSpan w:val="9"/>
            <w:tcBorders>
              <w:top w:val="single" w:color="auto" w:sz="4" w:space="0"/>
              <w:left w:val="single" w:color="auto" w:sz="4" w:space="0"/>
              <w:bottom w:val="single" w:color="auto" w:sz="4" w:space="0"/>
              <w:right w:val="single" w:color="auto" w:sz="4" w:space="0"/>
            </w:tcBorders>
            <w:noWrap w:val="0"/>
            <w:vAlign w:val="center"/>
          </w:tcPr>
          <w:p w14:paraId="66D20A1C">
            <w:pPr>
              <w:suppressAutoHyphens/>
              <w:bidi w:val="0"/>
              <w:rPr>
                <w:rFonts w:ascii="仿宋" w:hAnsi="仿宋" w:eastAsia="仿宋" w:cs="黑体"/>
                <w:bCs/>
                <w:sz w:val="28"/>
                <w:szCs w:val="28"/>
              </w:rPr>
            </w:pPr>
            <w:r>
              <w:rPr>
                <w:rFonts w:hint="eastAsia" w:ascii="仿宋" w:hAnsi="仿宋" w:eastAsia="仿宋" w:cs="黑体"/>
                <w:bCs/>
                <w:sz w:val="28"/>
                <w:szCs w:val="28"/>
              </w:rPr>
              <w:t>三、申请单位意见：</w:t>
            </w:r>
          </w:p>
          <w:p w14:paraId="699B835F">
            <w:pPr>
              <w:suppressAutoHyphens/>
              <w:bidi w:val="0"/>
              <w:spacing w:before="60" w:after="60" w:line="480" w:lineRule="auto"/>
              <w:rPr>
                <w:rFonts w:ascii="仿宋" w:hAnsi="仿宋" w:eastAsia="仿宋"/>
                <w:b/>
                <w:sz w:val="28"/>
                <w:szCs w:val="36"/>
              </w:rPr>
            </w:pPr>
          </w:p>
          <w:p w14:paraId="19AEF13B">
            <w:pPr>
              <w:suppressAutoHyphens/>
              <w:bidi w:val="0"/>
              <w:jc w:val="center"/>
              <w:rPr>
                <w:rFonts w:ascii="仿宋" w:hAnsi="仿宋" w:eastAsia="仿宋" w:cs="仿宋_GB2312"/>
                <w:b/>
                <w:sz w:val="28"/>
                <w:szCs w:val="36"/>
              </w:rPr>
            </w:pPr>
            <w:r>
              <w:rPr>
                <w:rFonts w:hint="eastAsia" w:ascii="仿宋" w:hAnsi="仿宋" w:eastAsia="仿宋" w:cs="仿宋_GB2312"/>
                <w:b/>
                <w:sz w:val="28"/>
                <w:szCs w:val="36"/>
              </w:rPr>
              <w:t xml:space="preserve">                    负责人：                  </w:t>
            </w:r>
          </w:p>
          <w:p w14:paraId="21134461">
            <w:pPr>
              <w:suppressAutoHyphens/>
              <w:bidi w:val="0"/>
              <w:jc w:val="right"/>
              <w:rPr>
                <w:rFonts w:ascii="仿宋" w:hAnsi="仿宋" w:eastAsia="仿宋"/>
                <w:b/>
                <w:sz w:val="28"/>
                <w:szCs w:val="36"/>
              </w:rPr>
            </w:pPr>
            <w:r>
              <w:rPr>
                <w:rFonts w:hint="eastAsia" w:ascii="仿宋" w:hAnsi="仿宋" w:eastAsia="仿宋" w:cs="仿宋_GB2312"/>
                <w:b/>
                <w:sz w:val="28"/>
                <w:szCs w:val="36"/>
              </w:rPr>
              <w:t xml:space="preserve"> （单位盖章）    年    月    日</w:t>
            </w:r>
          </w:p>
        </w:tc>
      </w:tr>
      <w:tr w14:paraId="6FE46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79" w:type="dxa"/>
          <w:trHeight w:val="2813" w:hRule="atLeast"/>
          <w:jc w:val="center"/>
        </w:trPr>
        <w:tc>
          <w:tcPr>
            <w:tcW w:w="8932" w:type="dxa"/>
            <w:gridSpan w:val="9"/>
            <w:tcBorders>
              <w:top w:val="single" w:color="auto" w:sz="4" w:space="0"/>
              <w:left w:val="single" w:color="auto" w:sz="4" w:space="0"/>
              <w:bottom w:val="single" w:color="auto" w:sz="4" w:space="0"/>
              <w:right w:val="single" w:color="auto" w:sz="4" w:space="0"/>
            </w:tcBorders>
            <w:noWrap w:val="0"/>
            <w:vAlign w:val="center"/>
          </w:tcPr>
          <w:p w14:paraId="76C19ADC">
            <w:pPr>
              <w:suppressAutoHyphens/>
              <w:bidi w:val="0"/>
              <w:rPr>
                <w:rFonts w:ascii="仿宋" w:hAnsi="仿宋" w:eastAsia="仿宋" w:cs="黑体"/>
                <w:bCs/>
                <w:sz w:val="28"/>
                <w:szCs w:val="28"/>
              </w:rPr>
            </w:pPr>
            <w:r>
              <w:rPr>
                <w:rFonts w:hint="eastAsia" w:ascii="仿宋" w:hAnsi="仿宋" w:eastAsia="仿宋" w:cs="黑体"/>
                <w:bCs/>
                <w:sz w:val="28"/>
                <w:szCs w:val="28"/>
              </w:rPr>
              <w:t>四、地方住房城乡建设主管部门意见：</w:t>
            </w:r>
          </w:p>
          <w:p w14:paraId="7BEAA359">
            <w:pPr>
              <w:suppressAutoHyphens/>
              <w:bidi w:val="0"/>
              <w:jc w:val="right"/>
              <w:rPr>
                <w:rFonts w:ascii="仿宋" w:hAnsi="仿宋" w:eastAsia="仿宋" w:cs="仿宋_GB2312"/>
                <w:b/>
                <w:sz w:val="28"/>
                <w:szCs w:val="36"/>
              </w:rPr>
            </w:pPr>
          </w:p>
          <w:p w14:paraId="741F104F">
            <w:pPr>
              <w:suppressAutoHyphens/>
              <w:bidi w:val="0"/>
              <w:jc w:val="right"/>
              <w:rPr>
                <w:rFonts w:ascii="仿宋" w:hAnsi="仿宋" w:eastAsia="仿宋" w:cs="仿宋_GB2312"/>
                <w:b/>
                <w:sz w:val="28"/>
                <w:szCs w:val="36"/>
              </w:rPr>
            </w:pPr>
          </w:p>
          <w:p w14:paraId="26BCF1CB">
            <w:pPr>
              <w:suppressAutoHyphens/>
              <w:bidi w:val="0"/>
              <w:jc w:val="right"/>
              <w:rPr>
                <w:rFonts w:ascii="仿宋" w:hAnsi="仿宋" w:eastAsia="仿宋" w:cs="仿宋_GB2312"/>
                <w:b/>
                <w:sz w:val="28"/>
                <w:szCs w:val="36"/>
              </w:rPr>
            </w:pPr>
            <w:r>
              <w:rPr>
                <w:rFonts w:hint="eastAsia" w:ascii="仿宋" w:hAnsi="仿宋" w:eastAsia="仿宋" w:cs="仿宋_GB2312"/>
                <w:b/>
                <w:sz w:val="28"/>
                <w:szCs w:val="36"/>
              </w:rPr>
              <w:t>（单位盖章）    年    月    日</w:t>
            </w:r>
          </w:p>
        </w:tc>
      </w:tr>
      <w:tr w14:paraId="6DD8A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79" w:type="dxa"/>
          <w:trHeight w:val="2949" w:hRule="atLeast"/>
          <w:jc w:val="center"/>
        </w:trPr>
        <w:tc>
          <w:tcPr>
            <w:tcW w:w="8932" w:type="dxa"/>
            <w:gridSpan w:val="9"/>
            <w:tcBorders>
              <w:top w:val="single" w:color="auto" w:sz="4" w:space="0"/>
              <w:left w:val="single" w:color="auto" w:sz="4" w:space="0"/>
              <w:bottom w:val="single" w:color="auto" w:sz="4" w:space="0"/>
              <w:right w:val="single" w:color="auto" w:sz="4" w:space="0"/>
            </w:tcBorders>
            <w:noWrap w:val="0"/>
            <w:vAlign w:val="center"/>
          </w:tcPr>
          <w:p w14:paraId="30C99284">
            <w:pPr>
              <w:suppressAutoHyphens/>
              <w:bidi w:val="0"/>
              <w:rPr>
                <w:rFonts w:ascii="仿宋" w:hAnsi="仿宋" w:eastAsia="仿宋" w:cs="黑体"/>
                <w:bCs/>
                <w:sz w:val="28"/>
                <w:szCs w:val="28"/>
              </w:rPr>
            </w:pPr>
            <w:r>
              <w:rPr>
                <w:rFonts w:hint="eastAsia" w:ascii="仿宋" w:hAnsi="仿宋" w:eastAsia="仿宋" w:cs="黑体"/>
                <w:bCs/>
                <w:sz w:val="28"/>
                <w:szCs w:val="28"/>
              </w:rPr>
              <w:t>五、</w:t>
            </w:r>
            <w:r>
              <w:rPr>
                <w:rFonts w:hint="eastAsia" w:ascii="仿宋" w:hAnsi="仿宋" w:eastAsia="仿宋" w:cs="黑体"/>
                <w:bCs/>
                <w:sz w:val="28"/>
                <w:szCs w:val="36"/>
              </w:rPr>
              <w:t>设区市</w:t>
            </w:r>
            <w:r>
              <w:rPr>
                <w:rFonts w:hint="eastAsia" w:ascii="仿宋" w:hAnsi="仿宋" w:eastAsia="仿宋" w:cs="黑体"/>
                <w:bCs/>
                <w:sz w:val="28"/>
                <w:szCs w:val="28"/>
              </w:rPr>
              <w:t>住房城乡建设主管部门</w:t>
            </w:r>
            <w:r>
              <w:rPr>
                <w:rFonts w:hint="eastAsia" w:ascii="仿宋" w:hAnsi="仿宋" w:eastAsia="仿宋" w:cs="黑体"/>
                <w:bCs/>
                <w:sz w:val="28"/>
                <w:szCs w:val="36"/>
              </w:rPr>
              <w:t>意见：</w:t>
            </w:r>
          </w:p>
          <w:p w14:paraId="42FC7B0D">
            <w:pPr>
              <w:suppressAutoHyphens/>
              <w:bidi w:val="0"/>
              <w:jc w:val="right"/>
              <w:rPr>
                <w:rFonts w:ascii="仿宋" w:hAnsi="仿宋" w:eastAsia="仿宋" w:cs="黑体"/>
                <w:bCs/>
                <w:sz w:val="28"/>
                <w:szCs w:val="28"/>
              </w:rPr>
            </w:pPr>
          </w:p>
          <w:p w14:paraId="669983F8">
            <w:pPr>
              <w:suppressAutoHyphens/>
              <w:bidi w:val="0"/>
              <w:jc w:val="right"/>
              <w:rPr>
                <w:rFonts w:ascii="仿宋" w:hAnsi="仿宋" w:eastAsia="仿宋" w:cs="黑体"/>
                <w:bCs/>
                <w:sz w:val="28"/>
                <w:szCs w:val="28"/>
              </w:rPr>
            </w:pPr>
          </w:p>
          <w:p w14:paraId="34244EB3">
            <w:pPr>
              <w:suppressAutoHyphens/>
              <w:bidi w:val="0"/>
              <w:jc w:val="right"/>
              <w:rPr>
                <w:rFonts w:ascii="仿宋" w:hAnsi="仿宋" w:eastAsia="仿宋" w:cs="黑体"/>
                <w:bCs/>
                <w:sz w:val="28"/>
                <w:szCs w:val="28"/>
              </w:rPr>
            </w:pPr>
            <w:r>
              <w:rPr>
                <w:rFonts w:hint="eastAsia" w:ascii="仿宋" w:hAnsi="仿宋" w:eastAsia="仿宋" w:cs="仿宋_GB2312"/>
                <w:b/>
                <w:sz w:val="28"/>
                <w:szCs w:val="36"/>
              </w:rPr>
              <w:t>（单位盖章）    年    月    日</w:t>
            </w:r>
          </w:p>
          <w:p w14:paraId="287A570C">
            <w:pPr>
              <w:suppressAutoHyphens/>
              <w:bidi w:val="0"/>
              <w:jc w:val="right"/>
              <w:rPr>
                <w:rFonts w:ascii="仿宋" w:hAnsi="仿宋" w:eastAsia="仿宋" w:cs="黑体"/>
                <w:bCs/>
                <w:sz w:val="28"/>
                <w:szCs w:val="28"/>
              </w:rPr>
            </w:pPr>
          </w:p>
        </w:tc>
      </w:tr>
      <w:tr w14:paraId="7F196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79" w:type="dxa"/>
          <w:trHeight w:val="4346" w:hRule="atLeast"/>
          <w:jc w:val="center"/>
        </w:trPr>
        <w:tc>
          <w:tcPr>
            <w:tcW w:w="8932" w:type="dxa"/>
            <w:gridSpan w:val="9"/>
            <w:tcBorders>
              <w:top w:val="single" w:color="auto" w:sz="4" w:space="0"/>
              <w:left w:val="single" w:color="auto" w:sz="4" w:space="0"/>
              <w:bottom w:val="single" w:color="auto" w:sz="4" w:space="0"/>
              <w:right w:val="single" w:color="auto" w:sz="4" w:space="0"/>
            </w:tcBorders>
            <w:noWrap w:val="0"/>
            <w:vAlign w:val="top"/>
          </w:tcPr>
          <w:p w14:paraId="5BA0C1BD">
            <w:pPr>
              <w:suppressAutoHyphens/>
              <w:bidi w:val="0"/>
              <w:spacing w:before="60" w:after="60" w:line="480" w:lineRule="auto"/>
              <w:rPr>
                <w:rFonts w:ascii="仿宋" w:hAnsi="仿宋" w:eastAsia="仿宋" w:cs="黑体"/>
                <w:bCs/>
                <w:sz w:val="28"/>
                <w:szCs w:val="36"/>
              </w:rPr>
            </w:pPr>
            <w:r>
              <w:rPr>
                <w:rFonts w:hint="eastAsia" w:ascii="仿宋" w:hAnsi="仿宋" w:eastAsia="仿宋" w:cs="黑体"/>
                <w:bCs/>
                <w:sz w:val="28"/>
                <w:szCs w:val="36"/>
              </w:rPr>
              <w:t>六、省住房城乡建设厅意见：</w:t>
            </w:r>
          </w:p>
          <w:p w14:paraId="01E9871D">
            <w:pPr>
              <w:suppressAutoHyphens/>
              <w:bidi w:val="0"/>
              <w:spacing w:before="60" w:after="60" w:line="480" w:lineRule="auto"/>
              <w:rPr>
                <w:rFonts w:ascii="仿宋" w:hAnsi="仿宋" w:eastAsia="仿宋"/>
                <w:b/>
                <w:sz w:val="28"/>
                <w:szCs w:val="36"/>
              </w:rPr>
            </w:pPr>
          </w:p>
          <w:p w14:paraId="75EAFF23">
            <w:pPr>
              <w:suppressAutoHyphens/>
              <w:bidi w:val="0"/>
              <w:spacing w:before="60" w:after="60" w:line="480" w:lineRule="auto"/>
              <w:rPr>
                <w:rFonts w:ascii="仿宋" w:hAnsi="仿宋" w:eastAsia="仿宋"/>
                <w:b/>
                <w:sz w:val="28"/>
                <w:szCs w:val="36"/>
              </w:rPr>
            </w:pPr>
          </w:p>
          <w:p w14:paraId="6A8D6EE5">
            <w:pPr>
              <w:suppressAutoHyphens/>
              <w:bidi w:val="0"/>
              <w:spacing w:before="60" w:after="60" w:line="480" w:lineRule="auto"/>
              <w:rPr>
                <w:rFonts w:ascii="仿宋" w:hAnsi="仿宋" w:eastAsia="仿宋"/>
                <w:b/>
                <w:sz w:val="28"/>
                <w:szCs w:val="36"/>
              </w:rPr>
            </w:pPr>
          </w:p>
          <w:p w14:paraId="0248FBFE">
            <w:pPr>
              <w:suppressAutoHyphens/>
              <w:bidi w:val="0"/>
              <w:spacing w:before="60" w:after="60" w:line="480" w:lineRule="auto"/>
              <w:rPr>
                <w:rFonts w:ascii="仿宋" w:hAnsi="仿宋" w:eastAsia="仿宋"/>
                <w:b/>
                <w:sz w:val="28"/>
                <w:szCs w:val="36"/>
              </w:rPr>
            </w:pPr>
          </w:p>
          <w:p w14:paraId="71E92073">
            <w:pPr>
              <w:suppressAutoHyphens/>
              <w:bidi w:val="0"/>
              <w:jc w:val="right"/>
              <w:rPr>
                <w:rFonts w:ascii="仿宋" w:hAnsi="仿宋" w:eastAsia="仿宋"/>
                <w:sz w:val="28"/>
                <w:szCs w:val="36"/>
              </w:rPr>
            </w:pPr>
            <w:r>
              <w:rPr>
                <w:rFonts w:hint="eastAsia" w:ascii="仿宋" w:hAnsi="仿宋" w:eastAsia="仿宋" w:cs="仿宋_GB2312"/>
                <w:b/>
                <w:sz w:val="28"/>
                <w:szCs w:val="36"/>
              </w:rPr>
              <w:t>（单位盖章）    年    月    日</w:t>
            </w:r>
          </w:p>
        </w:tc>
      </w:tr>
    </w:tbl>
    <w:p w14:paraId="7148B5CA">
      <w:pPr>
        <w:keepNext/>
        <w:keepLines/>
        <w:pageBreakBefore w:val="0"/>
        <w:widowControl w:val="0"/>
        <w:kinsoku/>
        <w:wordWrap/>
        <w:overflowPunct/>
        <w:topLinePunct w:val="0"/>
        <w:autoSpaceDE/>
        <w:autoSpaceDN/>
        <w:bidi w:val="0"/>
        <w:adjustRightInd/>
        <w:snapToGrid/>
        <w:spacing w:before="0" w:after="0" w:line="240" w:lineRule="auto"/>
        <w:jc w:val="both"/>
        <w:textAlignment w:val="auto"/>
        <w:outlineLvl w:val="1"/>
        <w:rPr>
          <w:rFonts w:hint="eastAsia" w:ascii="仿宋" w:hAnsi="仿宋" w:eastAsia="仿宋" w:cs="Times New Roman"/>
          <w:b w:val="0"/>
          <w:bCs/>
          <w:kern w:val="2"/>
          <w:sz w:val="20"/>
          <w:szCs w:val="20"/>
          <w:lang w:val="zh-CN" w:eastAsia="zh-CN" w:bidi="ar-SA"/>
        </w:rPr>
      </w:pPr>
    </w:p>
    <w:p w14:paraId="3E8147F7">
      <w:pPr>
        <w:keepNext/>
        <w:keepLines/>
        <w:widowControl w:val="0"/>
        <w:spacing w:before="0" w:after="0" w:line="360" w:lineRule="auto"/>
        <w:jc w:val="both"/>
        <w:outlineLvl w:val="1"/>
        <w:rPr>
          <w:rFonts w:ascii="仿宋" w:hAnsi="仿宋" w:eastAsia="仿宋" w:cs="Times New Roman"/>
          <w:b w:val="0"/>
          <w:bCs/>
          <w:kern w:val="2"/>
          <w:sz w:val="30"/>
          <w:szCs w:val="30"/>
          <w:lang w:val="zh-CN" w:eastAsia="zh-CN" w:bidi="ar-SA"/>
        </w:rPr>
      </w:pPr>
      <w:r>
        <w:rPr>
          <w:rFonts w:hint="eastAsia" w:ascii="仿宋" w:hAnsi="仿宋" w:eastAsia="仿宋" w:cs="Times New Roman"/>
          <w:b w:val="0"/>
          <w:bCs/>
          <w:kern w:val="2"/>
          <w:sz w:val="30"/>
          <w:szCs w:val="30"/>
          <w:lang w:val="zh-CN" w:eastAsia="zh-CN" w:bidi="ar-SA"/>
        </w:rPr>
        <w:t>附件4</w:t>
      </w:r>
    </w:p>
    <w:p w14:paraId="201B7608">
      <w:pPr>
        <w:suppressAutoHyphens/>
        <w:bidi w:val="0"/>
        <w:jc w:val="left"/>
        <w:rPr>
          <w:rFonts w:ascii="仿宋" w:hAnsi="仿宋" w:eastAsia="仿宋"/>
          <w:sz w:val="21"/>
          <w:szCs w:val="22"/>
        </w:rPr>
      </w:pPr>
    </w:p>
    <w:p w14:paraId="2282F2E1">
      <w:pPr>
        <w:suppressAutoHyphens/>
        <w:bidi w:val="0"/>
        <w:jc w:val="center"/>
        <w:rPr>
          <w:rFonts w:ascii="仿宋" w:hAnsi="仿宋" w:eastAsia="仿宋" w:cs="方正小标宋简体"/>
          <w:b/>
          <w:bCs/>
          <w:sz w:val="36"/>
          <w:szCs w:val="36"/>
        </w:rPr>
      </w:pPr>
      <w:r>
        <w:rPr>
          <w:rFonts w:hint="eastAsia" w:ascii="仿宋" w:hAnsi="仿宋" w:eastAsia="仿宋" w:cs="方正小标宋简体"/>
          <w:b/>
          <w:bCs/>
          <w:sz w:val="36"/>
          <w:szCs w:val="36"/>
        </w:rPr>
        <w:t>辽宁省装配式建筑产业基地可行性研究报告</w:t>
      </w:r>
    </w:p>
    <w:p w14:paraId="715C18E7">
      <w:pPr>
        <w:suppressAutoHyphens/>
        <w:bidi w:val="0"/>
        <w:jc w:val="center"/>
        <w:rPr>
          <w:rFonts w:ascii="仿宋" w:hAnsi="仿宋" w:eastAsia="仿宋" w:cs="方正小标宋简体"/>
          <w:b/>
          <w:bCs/>
          <w:sz w:val="36"/>
          <w:szCs w:val="36"/>
        </w:rPr>
      </w:pPr>
      <w:r>
        <w:rPr>
          <w:rFonts w:hint="eastAsia" w:ascii="仿宋" w:hAnsi="仿宋" w:eastAsia="仿宋" w:cs="方正小标宋简体"/>
          <w:b/>
          <w:bCs/>
          <w:sz w:val="36"/>
          <w:szCs w:val="36"/>
        </w:rPr>
        <w:t>（框架）</w:t>
      </w:r>
    </w:p>
    <w:p w14:paraId="13EF5F62">
      <w:pPr>
        <w:suppressAutoHyphens/>
        <w:bidi w:val="0"/>
        <w:ind w:firstLine="602" w:firstLineChars="200"/>
        <w:rPr>
          <w:rFonts w:ascii="仿宋" w:hAnsi="仿宋" w:eastAsia="仿宋" w:cs="黑体"/>
          <w:b/>
          <w:sz w:val="30"/>
          <w:szCs w:val="30"/>
        </w:rPr>
      </w:pPr>
      <w:r>
        <w:rPr>
          <w:rFonts w:hint="eastAsia" w:ascii="仿宋" w:hAnsi="仿宋" w:eastAsia="仿宋" w:cs="黑体"/>
          <w:b/>
          <w:sz w:val="30"/>
          <w:szCs w:val="30"/>
        </w:rPr>
        <w:t>一、目的、意义及必要性</w:t>
      </w:r>
    </w:p>
    <w:p w14:paraId="73875168">
      <w:pPr>
        <w:suppressAutoHyphens/>
        <w:bidi w:val="0"/>
        <w:ind w:firstLine="600" w:firstLineChars="200"/>
        <w:rPr>
          <w:rFonts w:ascii="仿宋" w:hAnsi="仿宋" w:eastAsia="仿宋"/>
          <w:sz w:val="30"/>
          <w:szCs w:val="30"/>
        </w:rPr>
      </w:pPr>
      <w:r>
        <w:rPr>
          <w:rFonts w:hint="eastAsia" w:ascii="仿宋" w:hAnsi="仿宋" w:eastAsia="仿宋"/>
          <w:sz w:val="30"/>
          <w:szCs w:val="30"/>
        </w:rPr>
        <w:t>（一）产业基地实施的目的、意义</w:t>
      </w:r>
    </w:p>
    <w:p w14:paraId="189DF9F0">
      <w:pPr>
        <w:suppressAutoHyphens/>
        <w:bidi w:val="0"/>
        <w:ind w:firstLine="600" w:firstLineChars="200"/>
        <w:rPr>
          <w:rFonts w:ascii="仿宋" w:hAnsi="仿宋" w:eastAsia="仿宋"/>
          <w:sz w:val="30"/>
          <w:szCs w:val="30"/>
        </w:rPr>
      </w:pPr>
      <w:r>
        <w:rPr>
          <w:rFonts w:hint="eastAsia" w:ascii="仿宋" w:hAnsi="仿宋" w:eastAsia="仿宋"/>
          <w:sz w:val="30"/>
          <w:szCs w:val="30"/>
        </w:rPr>
        <w:t>（二）产业基地实施的必要性</w:t>
      </w:r>
    </w:p>
    <w:p w14:paraId="5DF921BB">
      <w:pPr>
        <w:suppressAutoHyphens/>
        <w:bidi w:val="0"/>
        <w:ind w:firstLine="602" w:firstLineChars="200"/>
        <w:rPr>
          <w:rFonts w:ascii="仿宋" w:hAnsi="仿宋" w:eastAsia="仿宋" w:cs="黑体"/>
          <w:b/>
          <w:sz w:val="30"/>
          <w:szCs w:val="30"/>
        </w:rPr>
      </w:pPr>
      <w:r>
        <w:rPr>
          <w:rFonts w:hint="eastAsia" w:ascii="仿宋" w:hAnsi="仿宋" w:eastAsia="仿宋" w:cs="黑体"/>
          <w:b/>
          <w:sz w:val="30"/>
          <w:szCs w:val="30"/>
        </w:rPr>
        <w:t>二、产业基地的重点任务</w:t>
      </w:r>
    </w:p>
    <w:p w14:paraId="27ADFAB6">
      <w:pPr>
        <w:suppressAutoHyphens/>
        <w:bidi w:val="0"/>
        <w:ind w:firstLine="600" w:firstLineChars="200"/>
        <w:rPr>
          <w:rFonts w:ascii="仿宋" w:hAnsi="仿宋" w:eastAsia="仿宋"/>
          <w:sz w:val="30"/>
          <w:szCs w:val="30"/>
        </w:rPr>
      </w:pPr>
      <w:r>
        <w:rPr>
          <w:rFonts w:hint="eastAsia" w:ascii="仿宋" w:hAnsi="仿宋" w:eastAsia="仿宋"/>
          <w:sz w:val="30"/>
          <w:szCs w:val="30"/>
        </w:rPr>
        <w:t>（一）产业基地的核心技术和配套产品技术</w:t>
      </w:r>
    </w:p>
    <w:p w14:paraId="456AEF4F">
      <w:pPr>
        <w:suppressAutoHyphens/>
        <w:bidi w:val="0"/>
        <w:ind w:firstLine="600" w:firstLineChars="200"/>
        <w:rPr>
          <w:rFonts w:ascii="仿宋" w:hAnsi="仿宋" w:eastAsia="仿宋"/>
          <w:sz w:val="30"/>
          <w:szCs w:val="30"/>
        </w:rPr>
      </w:pPr>
      <w:r>
        <w:rPr>
          <w:rFonts w:hint="eastAsia" w:ascii="仿宋" w:hAnsi="仿宋" w:eastAsia="仿宋"/>
          <w:sz w:val="30"/>
          <w:szCs w:val="30"/>
        </w:rPr>
        <w:t>（二）产业基地的主要内容</w:t>
      </w:r>
    </w:p>
    <w:p w14:paraId="35873DA1">
      <w:pPr>
        <w:numPr>
          <w:ilvl w:val="0"/>
          <w:numId w:val="2"/>
        </w:numPr>
        <w:suppressAutoHyphens/>
        <w:bidi w:val="0"/>
        <w:adjustRightInd w:val="0"/>
        <w:snapToGrid w:val="0"/>
        <w:spacing w:line="360" w:lineRule="auto"/>
        <w:ind w:left="709" w:firstLine="0"/>
        <w:rPr>
          <w:rFonts w:ascii="仿宋" w:hAnsi="仿宋" w:eastAsia="仿宋"/>
          <w:sz w:val="30"/>
          <w:szCs w:val="30"/>
        </w:rPr>
      </w:pPr>
      <w:r>
        <w:rPr>
          <w:rFonts w:hint="eastAsia" w:ascii="仿宋" w:hAnsi="仿宋" w:eastAsia="仿宋"/>
          <w:sz w:val="30"/>
          <w:szCs w:val="30"/>
        </w:rPr>
        <w:t>主要产品</w:t>
      </w:r>
    </w:p>
    <w:p w14:paraId="00C22B5A">
      <w:pPr>
        <w:numPr>
          <w:ilvl w:val="0"/>
          <w:numId w:val="2"/>
        </w:numPr>
        <w:suppressAutoHyphens/>
        <w:bidi w:val="0"/>
        <w:adjustRightInd w:val="0"/>
        <w:snapToGrid w:val="0"/>
        <w:spacing w:line="360" w:lineRule="auto"/>
        <w:ind w:left="709" w:firstLine="0"/>
        <w:rPr>
          <w:rFonts w:ascii="仿宋" w:hAnsi="仿宋" w:eastAsia="仿宋"/>
          <w:sz w:val="30"/>
          <w:szCs w:val="30"/>
        </w:rPr>
      </w:pPr>
      <w:r>
        <w:rPr>
          <w:rFonts w:hint="eastAsia" w:ascii="仿宋" w:hAnsi="仿宋" w:eastAsia="仿宋"/>
          <w:sz w:val="30"/>
          <w:szCs w:val="30"/>
        </w:rPr>
        <w:t>项目实践</w:t>
      </w:r>
    </w:p>
    <w:p w14:paraId="4E73C494">
      <w:pPr>
        <w:numPr>
          <w:ilvl w:val="0"/>
          <w:numId w:val="2"/>
        </w:numPr>
        <w:suppressAutoHyphens/>
        <w:bidi w:val="0"/>
        <w:adjustRightInd w:val="0"/>
        <w:snapToGrid w:val="0"/>
        <w:spacing w:line="360" w:lineRule="auto"/>
        <w:ind w:left="709" w:firstLine="0"/>
        <w:rPr>
          <w:rFonts w:ascii="仿宋" w:hAnsi="仿宋" w:eastAsia="仿宋"/>
          <w:sz w:val="30"/>
          <w:szCs w:val="30"/>
        </w:rPr>
      </w:pPr>
      <w:r>
        <w:rPr>
          <w:rFonts w:hint="eastAsia" w:ascii="仿宋" w:hAnsi="仿宋" w:eastAsia="仿宋"/>
          <w:sz w:val="30"/>
          <w:szCs w:val="30"/>
        </w:rPr>
        <w:t>优势分析</w:t>
      </w:r>
    </w:p>
    <w:p w14:paraId="3C075A98">
      <w:pPr>
        <w:numPr>
          <w:ilvl w:val="0"/>
          <w:numId w:val="2"/>
        </w:numPr>
        <w:suppressAutoHyphens/>
        <w:bidi w:val="0"/>
        <w:adjustRightInd w:val="0"/>
        <w:snapToGrid w:val="0"/>
        <w:spacing w:line="360" w:lineRule="auto"/>
        <w:ind w:left="709" w:firstLine="0"/>
        <w:rPr>
          <w:rFonts w:ascii="仿宋" w:hAnsi="仿宋" w:eastAsia="仿宋"/>
          <w:sz w:val="30"/>
          <w:szCs w:val="30"/>
        </w:rPr>
      </w:pPr>
      <w:r>
        <w:rPr>
          <w:rFonts w:hint="eastAsia" w:ascii="仿宋" w:hAnsi="仿宋" w:eastAsia="仿宋"/>
          <w:sz w:val="30"/>
          <w:szCs w:val="30"/>
        </w:rPr>
        <w:t>技术集成</w:t>
      </w:r>
    </w:p>
    <w:p w14:paraId="6DC405C0">
      <w:pPr>
        <w:numPr>
          <w:ilvl w:val="0"/>
          <w:numId w:val="2"/>
        </w:numPr>
        <w:suppressAutoHyphens/>
        <w:bidi w:val="0"/>
        <w:adjustRightInd w:val="0"/>
        <w:snapToGrid w:val="0"/>
        <w:spacing w:line="360" w:lineRule="auto"/>
        <w:ind w:left="709" w:firstLine="0"/>
        <w:rPr>
          <w:rFonts w:ascii="仿宋" w:hAnsi="仿宋" w:eastAsia="仿宋"/>
          <w:sz w:val="30"/>
          <w:szCs w:val="30"/>
        </w:rPr>
      </w:pPr>
      <w:r>
        <w:rPr>
          <w:rFonts w:hint="eastAsia" w:ascii="仿宋" w:hAnsi="仿宋" w:eastAsia="仿宋"/>
          <w:sz w:val="30"/>
          <w:szCs w:val="30"/>
        </w:rPr>
        <w:t>专业协同</w:t>
      </w:r>
    </w:p>
    <w:p w14:paraId="7734D2AE">
      <w:pPr>
        <w:suppressAutoHyphens/>
        <w:bidi w:val="0"/>
        <w:ind w:firstLine="602" w:firstLineChars="200"/>
        <w:rPr>
          <w:rFonts w:ascii="仿宋" w:hAnsi="仿宋" w:eastAsia="仿宋" w:cs="黑体"/>
          <w:b/>
          <w:sz w:val="30"/>
          <w:szCs w:val="30"/>
        </w:rPr>
      </w:pPr>
      <w:r>
        <w:rPr>
          <w:rFonts w:hint="eastAsia" w:ascii="仿宋" w:hAnsi="仿宋" w:eastAsia="仿宋" w:cs="黑体"/>
          <w:b/>
          <w:sz w:val="30"/>
          <w:szCs w:val="30"/>
        </w:rPr>
        <w:t>三、产业基地的工作方案</w:t>
      </w:r>
    </w:p>
    <w:p w14:paraId="08B1BBA5">
      <w:pPr>
        <w:suppressAutoHyphens/>
        <w:bidi w:val="0"/>
        <w:ind w:firstLine="600" w:firstLineChars="200"/>
        <w:rPr>
          <w:rFonts w:ascii="仿宋" w:hAnsi="仿宋" w:eastAsia="仿宋"/>
          <w:sz w:val="30"/>
          <w:szCs w:val="30"/>
        </w:rPr>
      </w:pPr>
      <w:r>
        <w:rPr>
          <w:rFonts w:hint="eastAsia" w:ascii="仿宋" w:hAnsi="仿宋" w:eastAsia="仿宋"/>
          <w:sz w:val="30"/>
          <w:szCs w:val="30"/>
        </w:rPr>
        <w:t>（一）工作目标</w:t>
      </w:r>
    </w:p>
    <w:p w14:paraId="2E0C4510">
      <w:pPr>
        <w:numPr>
          <w:ilvl w:val="0"/>
          <w:numId w:val="3"/>
        </w:numPr>
        <w:suppressAutoHyphens/>
        <w:bidi w:val="0"/>
        <w:adjustRightInd w:val="0"/>
        <w:snapToGrid w:val="0"/>
        <w:spacing w:line="360" w:lineRule="auto"/>
        <w:ind w:left="709" w:firstLine="0"/>
        <w:rPr>
          <w:rFonts w:ascii="仿宋" w:hAnsi="仿宋" w:eastAsia="仿宋"/>
          <w:sz w:val="30"/>
          <w:szCs w:val="30"/>
        </w:rPr>
      </w:pPr>
      <w:r>
        <w:rPr>
          <w:rFonts w:hint="eastAsia" w:ascii="仿宋" w:hAnsi="仿宋" w:eastAsia="仿宋"/>
          <w:sz w:val="30"/>
          <w:szCs w:val="30"/>
        </w:rPr>
        <w:t>总体目标</w:t>
      </w:r>
    </w:p>
    <w:p w14:paraId="48E656B4">
      <w:pPr>
        <w:numPr>
          <w:ilvl w:val="0"/>
          <w:numId w:val="3"/>
        </w:numPr>
        <w:suppressAutoHyphens/>
        <w:bidi w:val="0"/>
        <w:adjustRightInd w:val="0"/>
        <w:snapToGrid w:val="0"/>
        <w:spacing w:line="360" w:lineRule="auto"/>
        <w:ind w:left="709" w:firstLine="0"/>
        <w:rPr>
          <w:rFonts w:ascii="仿宋" w:hAnsi="仿宋" w:eastAsia="仿宋"/>
          <w:sz w:val="30"/>
          <w:szCs w:val="30"/>
        </w:rPr>
      </w:pPr>
      <w:r>
        <w:rPr>
          <w:rFonts w:hint="eastAsia" w:ascii="仿宋" w:hAnsi="仿宋" w:eastAsia="仿宋"/>
          <w:sz w:val="30"/>
          <w:szCs w:val="30"/>
        </w:rPr>
        <w:t>具体目标</w:t>
      </w:r>
    </w:p>
    <w:p w14:paraId="2DD4A904">
      <w:pPr>
        <w:numPr>
          <w:ilvl w:val="0"/>
          <w:numId w:val="3"/>
        </w:numPr>
        <w:suppressAutoHyphens/>
        <w:bidi w:val="0"/>
        <w:adjustRightInd w:val="0"/>
        <w:snapToGrid w:val="0"/>
        <w:spacing w:line="360" w:lineRule="auto"/>
        <w:ind w:left="709" w:firstLine="0"/>
        <w:rPr>
          <w:rFonts w:ascii="仿宋" w:hAnsi="仿宋" w:eastAsia="仿宋"/>
          <w:sz w:val="30"/>
          <w:szCs w:val="30"/>
        </w:rPr>
      </w:pPr>
      <w:r>
        <w:rPr>
          <w:rFonts w:hint="eastAsia" w:ascii="仿宋" w:hAnsi="仿宋" w:eastAsia="仿宋"/>
          <w:sz w:val="30"/>
          <w:szCs w:val="30"/>
        </w:rPr>
        <w:t>阶段性考核目标</w:t>
      </w:r>
    </w:p>
    <w:p w14:paraId="6C19B90A">
      <w:pPr>
        <w:suppressAutoHyphens/>
        <w:bidi w:val="0"/>
        <w:ind w:firstLine="600" w:firstLineChars="200"/>
        <w:rPr>
          <w:rFonts w:ascii="仿宋" w:hAnsi="仿宋" w:eastAsia="仿宋"/>
          <w:sz w:val="30"/>
          <w:szCs w:val="30"/>
        </w:rPr>
      </w:pPr>
      <w:r>
        <w:rPr>
          <w:rFonts w:hint="eastAsia" w:ascii="仿宋" w:hAnsi="仿宋" w:eastAsia="仿宋"/>
          <w:sz w:val="30"/>
          <w:szCs w:val="30"/>
        </w:rPr>
        <w:t>（二）进度计划安排（含分阶段考核内容）</w:t>
      </w:r>
    </w:p>
    <w:p w14:paraId="6A182B22">
      <w:pPr>
        <w:suppressAutoHyphens/>
        <w:bidi w:val="0"/>
        <w:ind w:firstLine="600" w:firstLineChars="200"/>
        <w:rPr>
          <w:rFonts w:eastAsia="宋体"/>
          <w:sz w:val="21"/>
          <w:szCs w:val="22"/>
        </w:rPr>
      </w:pPr>
      <w:r>
        <w:rPr>
          <w:rFonts w:hint="eastAsia" w:ascii="仿宋" w:hAnsi="仿宋" w:eastAsia="仿宋"/>
          <w:sz w:val="30"/>
          <w:szCs w:val="30"/>
        </w:rPr>
        <w:t>（三）政策措施与组织管理保障</w:t>
      </w:r>
    </w:p>
    <w:p w14:paraId="5A4B219A">
      <w:pPr>
        <w:rPr>
          <w:rFonts w:hint="eastAsia" w:ascii="仿宋" w:hAnsi="仿宋" w:eastAsia="仿宋"/>
          <w:sz w:val="32"/>
          <w:szCs w:val="32"/>
        </w:rPr>
      </w:pPr>
    </w:p>
    <w:p w14:paraId="4F716645">
      <w:pPr>
        <w:keepNext w:val="0"/>
        <w:keepLines w:val="0"/>
        <w:pageBreakBefore w:val="0"/>
        <w:widowControl w:val="0"/>
        <w:suppressAutoHyphens/>
        <w:kinsoku/>
        <w:wordWrap/>
        <w:overflowPunct/>
        <w:topLinePunct w:val="0"/>
        <w:autoSpaceDE/>
        <w:autoSpaceDN/>
        <w:bidi w:val="0"/>
        <w:adjustRightInd/>
        <w:snapToGrid/>
        <w:spacing w:line="640" w:lineRule="exact"/>
        <w:jc w:val="center"/>
        <w:textAlignment w:val="auto"/>
        <w:rPr>
          <w:rFonts w:hint="eastAsia" w:ascii="宋体" w:hAnsi="宋体" w:eastAsia="宋体"/>
          <w:b/>
          <w:sz w:val="44"/>
          <w:szCs w:val="44"/>
        </w:rPr>
      </w:pPr>
      <w:r>
        <w:rPr>
          <w:rFonts w:hint="eastAsia" w:ascii="宋体" w:hAnsi="宋体" w:eastAsia="宋体"/>
          <w:b/>
          <w:sz w:val="44"/>
          <w:szCs w:val="44"/>
        </w:rPr>
        <w:t>辽宁省住房和城乡建设厅 辽宁省交通运输厅 辽宁省水利厅 关于贯彻落实《辽宁省</w:t>
      </w:r>
    </w:p>
    <w:p w14:paraId="752FD2B3">
      <w:pPr>
        <w:keepNext w:val="0"/>
        <w:keepLines w:val="0"/>
        <w:pageBreakBefore w:val="0"/>
        <w:widowControl w:val="0"/>
        <w:suppressAutoHyphens/>
        <w:kinsoku/>
        <w:wordWrap/>
        <w:overflowPunct/>
        <w:topLinePunct w:val="0"/>
        <w:autoSpaceDE/>
        <w:autoSpaceDN/>
        <w:bidi w:val="0"/>
        <w:adjustRightInd/>
        <w:snapToGrid/>
        <w:spacing w:line="640" w:lineRule="exact"/>
        <w:jc w:val="center"/>
        <w:textAlignment w:val="auto"/>
        <w:rPr>
          <w:rFonts w:hint="eastAsia" w:ascii="宋体" w:hAnsi="宋体" w:eastAsia="宋体"/>
          <w:b/>
          <w:sz w:val="44"/>
          <w:szCs w:val="44"/>
        </w:rPr>
      </w:pPr>
      <w:r>
        <w:rPr>
          <w:rFonts w:hint="eastAsia" w:ascii="宋体" w:hAnsi="宋体" w:eastAsia="宋体"/>
          <w:b/>
          <w:sz w:val="44"/>
          <w:szCs w:val="44"/>
        </w:rPr>
        <w:t>人民政府办公厅关于促进建筑业</w:t>
      </w:r>
    </w:p>
    <w:p w14:paraId="4EE0B29E">
      <w:pPr>
        <w:keepNext w:val="0"/>
        <w:keepLines w:val="0"/>
        <w:pageBreakBefore w:val="0"/>
        <w:widowControl w:val="0"/>
        <w:suppressAutoHyphens/>
        <w:kinsoku/>
        <w:wordWrap/>
        <w:overflowPunct/>
        <w:topLinePunct w:val="0"/>
        <w:autoSpaceDE/>
        <w:autoSpaceDN/>
        <w:bidi w:val="0"/>
        <w:adjustRightInd/>
        <w:snapToGrid/>
        <w:spacing w:line="640" w:lineRule="exact"/>
        <w:jc w:val="center"/>
        <w:textAlignment w:val="auto"/>
        <w:rPr>
          <w:rFonts w:ascii="宋体" w:hAnsi="宋体" w:eastAsia="宋体"/>
          <w:b/>
          <w:sz w:val="44"/>
          <w:szCs w:val="44"/>
        </w:rPr>
      </w:pPr>
      <w:r>
        <w:rPr>
          <w:rFonts w:hint="eastAsia" w:ascii="宋体" w:hAnsi="宋体" w:eastAsia="宋体"/>
          <w:b/>
          <w:sz w:val="44"/>
          <w:szCs w:val="44"/>
        </w:rPr>
        <w:t>高质量发展的意见》的通知</w:t>
      </w:r>
    </w:p>
    <w:p w14:paraId="124F3E9F">
      <w:pPr>
        <w:suppressAutoHyphens/>
        <w:bidi w:val="0"/>
        <w:spacing w:line="560" w:lineRule="exact"/>
        <w:ind w:firstLine="640" w:firstLineChars="200"/>
        <w:rPr>
          <w:rFonts w:hint="eastAsia" w:ascii="仿宋_GB2312" w:hAnsi="仿宋_GB2312" w:eastAsia="仿宋_GB2312" w:cs="仿宋_GB2312"/>
          <w:sz w:val="32"/>
          <w:szCs w:val="40"/>
          <w:lang w:val="en-US" w:eastAsia="zh-CN"/>
        </w:rPr>
      </w:pPr>
    </w:p>
    <w:p w14:paraId="5DB6DB37">
      <w:pPr>
        <w:suppressAutoHyphens/>
        <w:bidi w:val="0"/>
        <w:spacing w:line="560" w:lineRule="exact"/>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（辽住建〔2020〕56号，</w:t>
      </w:r>
      <w:r>
        <w:rPr>
          <w:rFonts w:hint="eastAsia" w:ascii="仿宋_GB2312" w:hAnsi="仿宋_GB2312" w:eastAsia="仿宋_GB2312" w:cs="仿宋_GB2312"/>
          <w:sz w:val="32"/>
          <w:szCs w:val="40"/>
          <w:lang w:eastAsia="zh-CN"/>
        </w:rPr>
        <w:t>根据</w:t>
      </w:r>
      <w:r>
        <w:rPr>
          <w:rFonts w:hint="eastAsia" w:ascii="仿宋_GB2312" w:hAnsi="仿宋_GB2312" w:eastAsia="仿宋_GB2312" w:cs="仿宋_GB2312"/>
          <w:sz w:val="32"/>
          <w:szCs w:val="40"/>
          <w:lang w:val="en-US" w:eastAsia="zh-CN"/>
        </w:rPr>
        <w:t>2026年3月6日</w:t>
      </w:r>
      <w:r>
        <w:rPr>
          <w:rFonts w:hint="eastAsia" w:ascii="仿宋_GB2312" w:hAnsi="仿宋_GB2312" w:eastAsia="仿宋_GB2312" w:cs="仿宋_GB2312"/>
          <w:sz w:val="32"/>
          <w:szCs w:val="40"/>
          <w:lang w:eastAsia="zh-CN"/>
        </w:rPr>
        <w:t>辽住建〔202</w:t>
      </w: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3</w:t>
      </w:r>
      <w:r>
        <w:rPr>
          <w:rFonts w:hint="default"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lang w:eastAsia="zh-CN"/>
        </w:rPr>
        <w:t>号</w:t>
      </w:r>
      <w:r>
        <w:rPr>
          <w:rFonts w:hint="eastAsia" w:ascii="仿宋_GB2312" w:hAnsi="仿宋_GB2312" w:eastAsia="仿宋_GB2312" w:cs="仿宋_GB2312"/>
          <w:sz w:val="32"/>
          <w:szCs w:val="40"/>
          <w:lang w:val="en-US" w:eastAsia="zh-CN"/>
        </w:rPr>
        <w:t>修改。）</w:t>
      </w:r>
    </w:p>
    <w:p w14:paraId="5613F578">
      <w:pPr>
        <w:widowControl/>
        <w:spacing w:before="0" w:beforeAutospacing="0" w:after="0" w:afterAutospacing="0"/>
        <w:jc w:val="both"/>
        <w:rPr>
          <w:rFonts w:ascii="仿宋_GB2312" w:hAnsi="微软雅黑" w:eastAsia="仿宋_GB2312" w:cs="宋体"/>
          <w:color w:val="333333"/>
          <w:kern w:val="0"/>
          <w:sz w:val="32"/>
          <w:szCs w:val="32"/>
          <w:lang w:val="en-US" w:eastAsia="zh-CN" w:bidi="ar-SA"/>
        </w:rPr>
      </w:pPr>
    </w:p>
    <w:p w14:paraId="44295601">
      <w:pPr>
        <w:suppressAutoHyphens/>
        <w:bidi w:val="0"/>
        <w:snapToGrid w:val="0"/>
        <w:spacing w:line="360" w:lineRule="auto"/>
        <w:ind w:firstLine="640" w:firstLineChars="200"/>
        <w:rPr>
          <w:rFonts w:hint="eastAsia" w:ascii="仿宋" w:hAnsi="仿宋" w:eastAsia="仿宋"/>
          <w:sz w:val="32"/>
          <w:szCs w:val="32"/>
        </w:rPr>
      </w:pPr>
      <w:r>
        <w:rPr>
          <w:rFonts w:hint="eastAsia" w:ascii="仿宋" w:hAnsi="仿宋" w:eastAsia="仿宋"/>
          <w:color w:val="000000"/>
          <w:sz w:val="32"/>
          <w:szCs w:val="32"/>
        </w:rPr>
        <w:t>为</w:t>
      </w:r>
      <w:r>
        <w:rPr>
          <w:rFonts w:hint="eastAsia" w:ascii="仿宋" w:hAnsi="仿宋" w:eastAsia="仿宋"/>
          <w:sz w:val="32"/>
          <w:szCs w:val="32"/>
        </w:rPr>
        <w:t>深入贯彻落实</w:t>
      </w:r>
      <w:r>
        <w:rPr>
          <w:rFonts w:hint="eastAsia" w:ascii="仿宋" w:hAnsi="仿宋" w:eastAsia="仿宋"/>
          <w:color w:val="000000"/>
          <w:sz w:val="32"/>
          <w:szCs w:val="32"/>
        </w:rPr>
        <w:t>《辽宁省人民政府办公厅关于促进建筑业高质</w:t>
      </w:r>
      <w:r>
        <w:rPr>
          <w:rFonts w:hint="eastAsia" w:ascii="仿宋_GB2312" w:hAnsi="微软雅黑" w:eastAsia="仿宋_GB2312"/>
          <w:color w:val="000000"/>
          <w:sz w:val="32"/>
          <w:szCs w:val="32"/>
        </w:rPr>
        <w:t>量发展的意见》（辽政办发</w:t>
      </w:r>
      <w:r>
        <w:rPr>
          <w:rFonts w:hint="eastAsia" w:ascii="仿宋" w:hAnsi="仿宋" w:eastAsia="仿宋"/>
          <w:sz w:val="32"/>
          <w:szCs w:val="32"/>
        </w:rPr>
        <w:t>〔2020〕</w:t>
      </w:r>
      <w:r>
        <w:rPr>
          <w:rFonts w:hint="eastAsia" w:ascii="仿宋_GB2312" w:hAnsi="微软雅黑" w:eastAsia="仿宋_GB2312"/>
          <w:color w:val="000000"/>
          <w:sz w:val="32"/>
          <w:szCs w:val="32"/>
        </w:rPr>
        <w:t>8号），切实把各项政策规定落实落细，深化建筑业“放管服”改革，</w:t>
      </w:r>
      <w:r>
        <w:rPr>
          <w:rFonts w:hint="eastAsia" w:ascii="仿宋" w:hAnsi="仿宋" w:eastAsia="仿宋"/>
          <w:sz w:val="32"/>
          <w:szCs w:val="32"/>
        </w:rPr>
        <w:t>积极培育壮大新动能，</w:t>
      </w:r>
      <w:r>
        <w:rPr>
          <w:rFonts w:hint="eastAsia" w:ascii="仿宋_GB2312" w:hAnsi="微软雅黑" w:eastAsia="仿宋_GB2312"/>
          <w:color w:val="000000"/>
          <w:sz w:val="32"/>
          <w:szCs w:val="32"/>
        </w:rPr>
        <w:t>增强企业核心竞争力，</w:t>
      </w:r>
      <w:r>
        <w:rPr>
          <w:rFonts w:hint="eastAsia" w:ascii="仿宋" w:hAnsi="仿宋" w:eastAsia="仿宋"/>
          <w:sz w:val="32"/>
          <w:szCs w:val="32"/>
        </w:rPr>
        <w:t>加快推动全省建筑业高质量发展。现将有关事项通知如下：</w:t>
      </w:r>
    </w:p>
    <w:p w14:paraId="5DD325D4">
      <w:pPr>
        <w:widowControl/>
        <w:adjustRightInd w:val="0"/>
        <w:snapToGrid w:val="0"/>
        <w:spacing w:before="0" w:beforeAutospacing="0" w:after="0" w:afterAutospacing="0" w:line="360" w:lineRule="auto"/>
        <w:ind w:firstLine="630"/>
        <w:jc w:val="both"/>
        <w:rPr>
          <w:rFonts w:ascii="黑体" w:hAnsi="黑体" w:eastAsia="黑体" w:cs="宋体"/>
          <w:color w:val="000000"/>
          <w:kern w:val="0"/>
          <w:sz w:val="32"/>
          <w:szCs w:val="32"/>
          <w:lang w:val="en-US" w:eastAsia="zh-CN" w:bidi="ar-SA"/>
        </w:rPr>
      </w:pPr>
      <w:r>
        <w:rPr>
          <w:rFonts w:hint="eastAsia" w:ascii="黑体" w:hAnsi="黑体" w:eastAsia="黑体" w:cs="宋体"/>
          <w:color w:val="000000"/>
          <w:kern w:val="0"/>
          <w:sz w:val="32"/>
          <w:szCs w:val="32"/>
          <w:lang w:val="en-US" w:eastAsia="zh-CN" w:bidi="ar-SA"/>
        </w:rPr>
        <w:t>一、深化资质改革</w:t>
      </w:r>
    </w:p>
    <w:p w14:paraId="3BCAB935">
      <w:pPr>
        <w:widowControl/>
        <w:adjustRightInd w:val="0"/>
        <w:snapToGrid w:val="0"/>
        <w:spacing w:before="0" w:beforeAutospacing="0" w:after="0" w:afterAutospacing="0" w:line="360" w:lineRule="auto"/>
        <w:ind w:firstLine="630"/>
        <w:jc w:val="both"/>
        <w:rPr>
          <w:rFonts w:ascii="微软雅黑" w:hAnsi="微软雅黑" w:eastAsia="微软雅黑" w:cs="宋体"/>
          <w:b/>
          <w:color w:val="000000"/>
          <w:kern w:val="0"/>
          <w:sz w:val="21"/>
          <w:szCs w:val="21"/>
          <w:lang w:val="en-US" w:eastAsia="zh-CN" w:bidi="ar-SA"/>
        </w:rPr>
      </w:pPr>
      <w:r>
        <w:rPr>
          <w:rFonts w:hint="eastAsia" w:ascii="楷体" w:hAnsi="楷体" w:eastAsia="楷体" w:cs="宋体"/>
          <w:b/>
          <w:color w:val="000000"/>
          <w:kern w:val="0"/>
          <w:sz w:val="32"/>
          <w:szCs w:val="32"/>
          <w:lang w:val="en-US" w:eastAsia="zh-CN" w:bidi="ar-SA"/>
        </w:rPr>
        <w:t>（一）放宽在辽施工建筑业企业资质承揽业务范围</w:t>
      </w:r>
    </w:p>
    <w:p w14:paraId="23CD47BC">
      <w:pPr>
        <w:widowControl/>
        <w:adjustRightInd w:val="0"/>
        <w:snapToGrid w:val="0"/>
        <w:spacing w:before="0" w:beforeAutospacing="0" w:after="0" w:afterAutospacing="0" w:line="360" w:lineRule="auto"/>
        <w:ind w:firstLine="630"/>
        <w:jc w:val="both"/>
        <w:rPr>
          <w:rFonts w:ascii="仿宋" w:hAnsi="仿宋" w:eastAsia="仿宋" w:cs="宋体"/>
          <w:b/>
          <w:color w:val="000000"/>
          <w:kern w:val="0"/>
          <w:sz w:val="21"/>
          <w:szCs w:val="21"/>
          <w:lang w:val="en-US" w:eastAsia="zh-CN" w:bidi="ar-SA"/>
        </w:rPr>
      </w:pPr>
      <w:r>
        <w:rPr>
          <w:rFonts w:hint="eastAsia" w:ascii="仿宋" w:hAnsi="仿宋" w:eastAsia="仿宋" w:cs="宋体"/>
          <w:b/>
          <w:color w:val="000000"/>
          <w:kern w:val="0"/>
          <w:sz w:val="32"/>
          <w:szCs w:val="32"/>
          <w:lang w:val="en-US" w:eastAsia="zh-CN" w:bidi="ar-SA"/>
        </w:rPr>
        <w:t>1.企业资质及履约能力</w:t>
      </w:r>
    </w:p>
    <w:p w14:paraId="2DBCEE41">
      <w:pPr>
        <w:widowControl/>
        <w:adjustRightInd w:val="0"/>
        <w:snapToGrid w:val="0"/>
        <w:spacing w:before="0" w:beforeAutospacing="0" w:after="0" w:afterAutospacing="0" w:line="360" w:lineRule="auto"/>
        <w:ind w:firstLine="630"/>
        <w:jc w:val="both"/>
        <w:rPr>
          <w:rFonts w:ascii="仿宋_GB2312" w:hAnsi="微软雅黑" w:eastAsia="仿宋_GB2312" w:cs="宋体"/>
          <w:color w:val="000000"/>
          <w:kern w:val="0"/>
          <w:sz w:val="32"/>
          <w:szCs w:val="32"/>
          <w:lang w:val="en-US" w:eastAsia="zh-CN" w:bidi="ar-SA"/>
        </w:rPr>
      </w:pPr>
      <w:r>
        <w:rPr>
          <w:rFonts w:hint="eastAsia" w:ascii="仿宋_GB2312" w:hAnsi="微软雅黑" w:eastAsia="仿宋_GB2312" w:cs="宋体"/>
          <w:color w:val="000000"/>
          <w:kern w:val="0"/>
          <w:sz w:val="32"/>
          <w:szCs w:val="32"/>
          <w:lang w:val="en-US" w:eastAsia="zh-CN" w:bidi="ar-SA"/>
        </w:rPr>
        <w:t>（1）具有</w:t>
      </w:r>
      <w:r>
        <w:rPr>
          <w:rFonts w:hint="eastAsia" w:ascii="仿宋" w:hAnsi="仿宋" w:eastAsia="仿宋" w:cs="宋体"/>
          <w:color w:val="000000"/>
          <w:kern w:val="0"/>
          <w:sz w:val="32"/>
          <w:szCs w:val="32"/>
          <w:lang w:val="en-US" w:eastAsia="zh-CN" w:bidi="ar-SA"/>
        </w:rPr>
        <w:t>市政公用工程、公路工程、水利水电工程、港口与航道工程其中一项资质的一级及以上总承包企业，可以在省内市政公用工程和公路工程之间、水利水电工程和港口与航道工程之间，互跨专业承接同等级业务。</w:t>
      </w:r>
    </w:p>
    <w:p w14:paraId="6527A45E">
      <w:pPr>
        <w:widowControl/>
        <w:adjustRightInd w:val="0"/>
        <w:snapToGrid w:val="0"/>
        <w:spacing w:before="0" w:beforeAutospacing="0" w:after="0" w:afterAutospacing="0" w:line="360" w:lineRule="auto"/>
        <w:ind w:firstLine="630"/>
        <w:jc w:val="both"/>
        <w:rPr>
          <w:rFonts w:ascii="微软雅黑" w:hAnsi="微软雅黑" w:eastAsia="微软雅黑" w:cs="宋体"/>
          <w:color w:val="000000"/>
          <w:kern w:val="0"/>
          <w:sz w:val="21"/>
          <w:szCs w:val="21"/>
          <w:lang w:val="en-US" w:eastAsia="zh-CN" w:bidi="ar-SA"/>
        </w:rPr>
      </w:pPr>
      <w:r>
        <w:rPr>
          <w:rFonts w:hint="eastAsia" w:ascii="仿宋_GB2312" w:hAnsi="微软雅黑" w:eastAsia="仿宋_GB2312" w:cs="宋体"/>
          <w:color w:val="000000"/>
          <w:kern w:val="0"/>
          <w:sz w:val="32"/>
          <w:szCs w:val="32"/>
          <w:lang w:val="en-US" w:eastAsia="zh-CN" w:bidi="ar-SA"/>
        </w:rPr>
        <w:t>（2）企业需以保函、保险、担保等方式提供合同总价10%的履约担保。</w:t>
      </w:r>
    </w:p>
    <w:p w14:paraId="30987A4A">
      <w:pPr>
        <w:widowControl/>
        <w:adjustRightInd w:val="0"/>
        <w:snapToGrid w:val="0"/>
        <w:spacing w:before="0" w:beforeAutospacing="0" w:after="0" w:afterAutospacing="0" w:line="360" w:lineRule="auto"/>
        <w:ind w:firstLine="630"/>
        <w:jc w:val="both"/>
        <w:rPr>
          <w:rFonts w:ascii="仿宋" w:hAnsi="仿宋" w:eastAsia="仿宋" w:cs="宋体"/>
          <w:b/>
          <w:color w:val="000000"/>
          <w:kern w:val="0"/>
          <w:sz w:val="32"/>
          <w:szCs w:val="32"/>
          <w:lang w:val="en-US" w:eastAsia="zh-CN" w:bidi="ar-SA"/>
        </w:rPr>
      </w:pPr>
      <w:r>
        <w:rPr>
          <w:rFonts w:hint="eastAsia" w:ascii="仿宋" w:hAnsi="仿宋" w:eastAsia="仿宋" w:cs="宋体"/>
          <w:b/>
          <w:color w:val="000000"/>
          <w:kern w:val="0"/>
          <w:sz w:val="32"/>
          <w:szCs w:val="32"/>
          <w:lang w:val="en-US" w:eastAsia="zh-CN" w:bidi="ar-SA"/>
        </w:rPr>
        <w:t>2.信用记录</w:t>
      </w:r>
    </w:p>
    <w:p w14:paraId="7CC856F2">
      <w:pPr>
        <w:widowControl/>
        <w:adjustRightInd w:val="0"/>
        <w:snapToGrid w:val="0"/>
        <w:spacing w:before="0" w:beforeAutospacing="0" w:after="0" w:afterAutospacing="0" w:line="360" w:lineRule="auto"/>
        <w:ind w:firstLine="630"/>
        <w:jc w:val="both"/>
        <w:rPr>
          <w:rFonts w:ascii="微软雅黑" w:hAnsi="微软雅黑" w:eastAsia="微软雅黑" w:cs="宋体"/>
          <w:color w:val="000000"/>
          <w:kern w:val="0"/>
          <w:sz w:val="21"/>
          <w:szCs w:val="21"/>
          <w:lang w:val="en-US" w:eastAsia="zh-CN" w:bidi="ar-SA"/>
        </w:rPr>
      </w:pPr>
      <w:r>
        <w:rPr>
          <w:rFonts w:hint="eastAsia" w:ascii="仿宋" w:hAnsi="仿宋" w:eastAsia="仿宋" w:cs="宋体"/>
          <w:color w:val="000000"/>
          <w:kern w:val="0"/>
          <w:sz w:val="32"/>
          <w:szCs w:val="32"/>
          <w:lang w:val="en-US" w:eastAsia="zh-CN" w:bidi="ar-SA"/>
        </w:rPr>
        <w:t>（1）本年度或上一年度企业公共信用评价等级达AA及以上。</w:t>
      </w:r>
    </w:p>
    <w:p w14:paraId="7DB9D8CB">
      <w:pPr>
        <w:widowControl/>
        <w:adjustRightInd w:val="0"/>
        <w:snapToGrid w:val="0"/>
        <w:spacing w:before="0" w:beforeAutospacing="0" w:after="0" w:afterAutospacing="0" w:line="360" w:lineRule="auto"/>
        <w:ind w:firstLine="630"/>
        <w:jc w:val="both"/>
        <w:rPr>
          <w:rFonts w:ascii="微软雅黑" w:hAnsi="微软雅黑" w:eastAsia="微软雅黑" w:cs="宋体"/>
          <w:color w:val="000000"/>
          <w:kern w:val="0"/>
          <w:sz w:val="21"/>
          <w:szCs w:val="21"/>
          <w:lang w:val="en-US" w:eastAsia="zh-CN" w:bidi="ar-SA"/>
        </w:rPr>
      </w:pPr>
      <w:r>
        <w:rPr>
          <w:rFonts w:hint="eastAsia" w:ascii="仿宋" w:hAnsi="仿宋" w:eastAsia="仿宋" w:cs="宋体"/>
          <w:color w:val="000000"/>
          <w:kern w:val="0"/>
          <w:sz w:val="32"/>
          <w:szCs w:val="32"/>
          <w:lang w:val="en-US" w:eastAsia="zh-CN" w:bidi="ar-SA"/>
        </w:rPr>
        <w:t>（2）近3年承建的工程项目未发生工程质量和施工安全事故。</w:t>
      </w:r>
    </w:p>
    <w:p w14:paraId="6F8A2EA5">
      <w:pPr>
        <w:widowControl/>
        <w:adjustRightInd w:val="0"/>
        <w:snapToGrid w:val="0"/>
        <w:spacing w:before="0" w:beforeAutospacing="0" w:after="0" w:afterAutospacing="0" w:line="360" w:lineRule="auto"/>
        <w:ind w:firstLine="630"/>
        <w:jc w:val="both"/>
        <w:rPr>
          <w:rFonts w:ascii="微软雅黑" w:hAnsi="微软雅黑" w:eastAsia="微软雅黑" w:cs="宋体"/>
          <w:color w:val="000000"/>
          <w:kern w:val="0"/>
          <w:sz w:val="21"/>
          <w:szCs w:val="21"/>
          <w:lang w:val="en-US" w:eastAsia="zh-CN" w:bidi="ar-SA"/>
        </w:rPr>
      </w:pPr>
      <w:r>
        <w:rPr>
          <w:rFonts w:hint="eastAsia" w:ascii="仿宋" w:hAnsi="仿宋" w:eastAsia="仿宋" w:cs="宋体"/>
          <w:color w:val="000000"/>
          <w:kern w:val="0"/>
          <w:sz w:val="32"/>
          <w:szCs w:val="32"/>
          <w:lang w:val="en-US" w:eastAsia="zh-CN" w:bidi="ar-SA"/>
        </w:rPr>
        <w:t>（3）近3年无建筑、公路、水运、水利市场不良信用信息。</w:t>
      </w:r>
    </w:p>
    <w:p w14:paraId="719AFA71">
      <w:pPr>
        <w:widowControl/>
        <w:adjustRightInd w:val="0"/>
        <w:snapToGrid w:val="0"/>
        <w:spacing w:before="0" w:beforeAutospacing="0" w:after="0" w:afterAutospacing="0" w:line="360" w:lineRule="auto"/>
        <w:ind w:firstLine="630"/>
        <w:jc w:val="both"/>
        <w:rPr>
          <w:rFonts w:ascii="仿宋" w:hAnsi="仿宋" w:eastAsia="仿宋" w:cs="宋体"/>
          <w:b/>
          <w:color w:val="000000"/>
          <w:kern w:val="0"/>
          <w:sz w:val="32"/>
          <w:szCs w:val="32"/>
          <w:lang w:val="en-US" w:eastAsia="zh-CN" w:bidi="ar-SA"/>
        </w:rPr>
      </w:pPr>
      <w:r>
        <w:rPr>
          <w:rFonts w:hint="eastAsia" w:ascii="仿宋" w:hAnsi="仿宋" w:eastAsia="仿宋" w:cs="宋体"/>
          <w:b/>
          <w:color w:val="000000"/>
          <w:kern w:val="0"/>
          <w:sz w:val="32"/>
          <w:szCs w:val="32"/>
          <w:lang w:val="en-US" w:eastAsia="zh-CN" w:bidi="ar-SA"/>
        </w:rPr>
        <w:t>3.项目负责人</w:t>
      </w:r>
    </w:p>
    <w:p w14:paraId="5C079684">
      <w:pPr>
        <w:widowControl/>
        <w:adjustRightInd w:val="0"/>
        <w:snapToGrid w:val="0"/>
        <w:spacing w:before="0" w:beforeAutospacing="0" w:after="0" w:afterAutospacing="0" w:line="360" w:lineRule="auto"/>
        <w:ind w:firstLine="630"/>
        <w:jc w:val="both"/>
        <w:rPr>
          <w:rFonts w:ascii="微软雅黑" w:hAnsi="微软雅黑" w:eastAsia="微软雅黑" w:cs="宋体"/>
          <w:color w:val="000000"/>
          <w:kern w:val="0"/>
          <w:sz w:val="21"/>
          <w:szCs w:val="21"/>
          <w:lang w:val="en-US" w:eastAsia="zh-CN" w:bidi="ar-SA"/>
        </w:rPr>
      </w:pPr>
      <w:r>
        <w:rPr>
          <w:rFonts w:hint="eastAsia" w:ascii="仿宋_GB2312" w:hAnsi="微软雅黑" w:eastAsia="仿宋_GB2312" w:cs="宋体"/>
          <w:color w:val="000000"/>
          <w:kern w:val="0"/>
          <w:sz w:val="32"/>
          <w:szCs w:val="32"/>
          <w:lang w:val="en-US" w:eastAsia="zh-CN" w:bidi="ar-SA"/>
        </w:rPr>
        <w:t>（1）具有拟承包工程项目对应专业的注册建造师执业证书，且注册在拟承包工程项目的施工企业，并与该企业建立正式劳动关系、缴纳社会保险。</w:t>
      </w:r>
    </w:p>
    <w:p w14:paraId="2375E5F4">
      <w:pPr>
        <w:widowControl/>
        <w:adjustRightInd w:val="0"/>
        <w:snapToGrid w:val="0"/>
        <w:spacing w:before="0" w:beforeAutospacing="0" w:after="0" w:afterAutospacing="0" w:line="360" w:lineRule="auto"/>
        <w:ind w:firstLine="630"/>
        <w:jc w:val="both"/>
        <w:rPr>
          <w:rFonts w:ascii="微软雅黑" w:hAnsi="微软雅黑" w:eastAsia="微软雅黑" w:cs="宋体"/>
          <w:color w:val="000000"/>
          <w:kern w:val="0"/>
          <w:sz w:val="21"/>
          <w:szCs w:val="21"/>
          <w:lang w:val="en-US" w:eastAsia="zh-CN" w:bidi="ar-SA"/>
        </w:rPr>
      </w:pPr>
      <w:r>
        <w:rPr>
          <w:rFonts w:hint="eastAsia" w:ascii="仿宋_GB2312" w:hAnsi="微软雅黑" w:eastAsia="仿宋_GB2312" w:cs="宋体"/>
          <w:color w:val="000000"/>
          <w:kern w:val="0"/>
          <w:sz w:val="32"/>
          <w:szCs w:val="32"/>
          <w:lang w:val="en-US" w:eastAsia="zh-CN" w:bidi="ar-SA"/>
        </w:rPr>
        <w:t>（2）近5年具有担任与拟承包工程项目同类别、同等级（或以上）工程施工项目经理的有效业绩。</w:t>
      </w:r>
    </w:p>
    <w:p w14:paraId="68E16060">
      <w:pPr>
        <w:widowControl/>
        <w:adjustRightInd w:val="0"/>
        <w:snapToGrid w:val="0"/>
        <w:spacing w:before="0" w:beforeAutospacing="0" w:after="0" w:afterAutospacing="0" w:line="360" w:lineRule="auto"/>
        <w:ind w:firstLine="630"/>
        <w:jc w:val="both"/>
        <w:rPr>
          <w:rFonts w:ascii="微软雅黑" w:hAnsi="微软雅黑" w:eastAsia="微软雅黑" w:cs="宋体"/>
          <w:color w:val="000000"/>
          <w:kern w:val="0"/>
          <w:sz w:val="21"/>
          <w:szCs w:val="21"/>
          <w:lang w:val="en-US" w:eastAsia="zh-CN" w:bidi="ar-SA"/>
        </w:rPr>
      </w:pPr>
      <w:r>
        <w:rPr>
          <w:rFonts w:hint="eastAsia" w:ascii="仿宋_GB2312" w:hAnsi="微软雅黑" w:eastAsia="仿宋_GB2312" w:cs="宋体"/>
          <w:color w:val="000000"/>
          <w:kern w:val="0"/>
          <w:sz w:val="32"/>
          <w:szCs w:val="32"/>
          <w:lang w:val="en-US" w:eastAsia="zh-CN" w:bidi="ar-SA"/>
        </w:rPr>
        <w:t>（3）注册执业期间无违法违规行为和不良信用信息，担任施工项目经理的工程未发生过工程质量和施工安全事故。</w:t>
      </w:r>
    </w:p>
    <w:p w14:paraId="64D2C84C">
      <w:pPr>
        <w:widowControl/>
        <w:adjustRightInd w:val="0"/>
        <w:snapToGrid w:val="0"/>
        <w:spacing w:before="0" w:beforeAutospacing="0" w:after="0" w:afterAutospacing="0" w:line="360" w:lineRule="auto"/>
        <w:ind w:firstLine="630"/>
        <w:jc w:val="both"/>
        <w:rPr>
          <w:rFonts w:ascii="仿宋" w:hAnsi="仿宋" w:eastAsia="仿宋" w:cs="宋体"/>
          <w:b/>
          <w:color w:val="000000"/>
          <w:kern w:val="0"/>
          <w:sz w:val="32"/>
          <w:szCs w:val="32"/>
          <w:lang w:val="en-US" w:eastAsia="zh-CN" w:bidi="ar-SA"/>
        </w:rPr>
      </w:pPr>
      <w:r>
        <w:rPr>
          <w:rFonts w:hint="eastAsia" w:ascii="仿宋" w:hAnsi="仿宋" w:eastAsia="仿宋" w:cs="宋体"/>
          <w:b/>
          <w:color w:val="000000"/>
          <w:kern w:val="0"/>
          <w:sz w:val="32"/>
          <w:szCs w:val="32"/>
          <w:lang w:val="en-US" w:eastAsia="zh-CN" w:bidi="ar-SA"/>
        </w:rPr>
        <w:t>4.有关要求</w:t>
      </w:r>
    </w:p>
    <w:p w14:paraId="27B10862">
      <w:pPr>
        <w:widowControl/>
        <w:adjustRightInd w:val="0"/>
        <w:snapToGrid w:val="0"/>
        <w:spacing w:before="0" w:beforeAutospacing="0" w:after="0" w:afterAutospacing="0" w:line="360" w:lineRule="auto"/>
        <w:ind w:firstLine="630"/>
        <w:jc w:val="both"/>
        <w:rPr>
          <w:rFonts w:ascii="仿宋_GB2312" w:hAnsi="微软雅黑" w:eastAsia="仿宋_GB2312" w:cs="宋体"/>
          <w:color w:val="000000"/>
          <w:kern w:val="0"/>
          <w:sz w:val="32"/>
          <w:szCs w:val="32"/>
          <w:lang w:val="en-US" w:eastAsia="zh-CN" w:bidi="ar-SA"/>
        </w:rPr>
      </w:pPr>
      <w:r>
        <w:rPr>
          <w:rFonts w:hint="eastAsia" w:ascii="仿宋_GB2312" w:hAnsi="微软雅黑" w:eastAsia="仿宋_GB2312" w:cs="宋体"/>
          <w:color w:val="000000"/>
          <w:kern w:val="0"/>
          <w:sz w:val="32"/>
          <w:szCs w:val="32"/>
          <w:lang w:val="en-US" w:eastAsia="zh-CN" w:bidi="ar-SA"/>
        </w:rPr>
        <w:t>建设单位在发包市政公用、公路、水利水电、港口与航道工程时，不得排斥符合上述条件的施工总承包企业参与竞争。在招标公告、招标文件、评标办法等招标文书中，应给予上述跨专业承接同等级业务的企业与具备相应资质的企业同等待遇，不得设置歧视性条款，不得区别对待。在选择施工企业时，如设置专业初始业绩门槛应比照项目规模为跨专业企业合理设置业绩条件。施工总承包单位要将安全生产放在首要位置，对承包范围内工程的安全生产负总责。</w:t>
      </w:r>
    </w:p>
    <w:p w14:paraId="38BBCAD8">
      <w:pPr>
        <w:widowControl/>
        <w:adjustRightInd w:val="0"/>
        <w:snapToGrid w:val="0"/>
        <w:spacing w:before="0" w:beforeAutospacing="0" w:after="0" w:afterAutospacing="0" w:line="360" w:lineRule="auto"/>
        <w:ind w:firstLine="630"/>
        <w:jc w:val="both"/>
        <w:rPr>
          <w:rFonts w:ascii="楷体" w:hAnsi="楷体" w:eastAsia="楷体" w:cs="宋体"/>
          <w:b/>
          <w:color w:val="000000"/>
          <w:kern w:val="0"/>
          <w:sz w:val="32"/>
          <w:szCs w:val="32"/>
          <w:lang w:val="en-US" w:eastAsia="zh-CN" w:bidi="ar-SA"/>
        </w:rPr>
      </w:pPr>
      <w:r>
        <w:rPr>
          <w:rFonts w:hint="eastAsia" w:ascii="楷体" w:hAnsi="楷体" w:eastAsia="楷体" w:cs="宋体"/>
          <w:b/>
          <w:color w:val="000000"/>
          <w:kern w:val="0"/>
          <w:sz w:val="32"/>
          <w:szCs w:val="32"/>
          <w:lang w:val="en-US" w:eastAsia="zh-CN" w:bidi="ar-SA"/>
        </w:rPr>
        <w:t>（二）打破注册在辽建筑业企业资质逐级晋升限制</w:t>
      </w:r>
    </w:p>
    <w:p w14:paraId="28AEB851">
      <w:pPr>
        <w:widowControl/>
        <w:adjustRightInd w:val="0"/>
        <w:snapToGrid w:val="0"/>
        <w:spacing w:before="0" w:beforeAutospacing="0" w:after="0" w:afterAutospacing="0" w:line="360" w:lineRule="auto"/>
        <w:ind w:firstLine="630"/>
        <w:jc w:val="both"/>
        <w:rPr>
          <w:rFonts w:ascii="仿宋" w:hAnsi="仿宋" w:eastAsia="仿宋" w:cs="宋体"/>
          <w:b/>
          <w:color w:val="000000"/>
          <w:kern w:val="0"/>
          <w:sz w:val="32"/>
          <w:szCs w:val="32"/>
          <w:lang w:val="en-US" w:eastAsia="zh-CN" w:bidi="ar-SA"/>
        </w:rPr>
      </w:pPr>
      <w:r>
        <w:rPr>
          <w:rFonts w:hint="eastAsia" w:ascii="仿宋" w:hAnsi="仿宋" w:eastAsia="仿宋" w:cs="宋体"/>
          <w:b/>
          <w:color w:val="000000"/>
          <w:kern w:val="0"/>
          <w:sz w:val="32"/>
          <w:szCs w:val="32"/>
          <w:lang w:val="en-US" w:eastAsia="zh-CN" w:bidi="ar-SA"/>
        </w:rPr>
        <w:t>1.申请专业</w:t>
      </w:r>
    </w:p>
    <w:p w14:paraId="66078249">
      <w:pPr>
        <w:widowControl/>
        <w:adjustRightInd w:val="0"/>
        <w:snapToGrid w:val="0"/>
        <w:spacing w:before="0" w:beforeAutospacing="0" w:after="0" w:afterAutospacing="0" w:line="360" w:lineRule="auto"/>
        <w:ind w:firstLine="630"/>
        <w:jc w:val="both"/>
        <w:rPr>
          <w:rFonts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已取得建筑工程施工总承包一级及以上资质的企业，可直接申请不高于总承包资质等级的地基基础、电子与智能化、消防设施、防水防腐保温、建筑装修装饰、建筑机电安装、建筑幕墙工程专业承包资质。</w:t>
      </w:r>
    </w:p>
    <w:p w14:paraId="141583FE">
      <w:pPr>
        <w:widowControl/>
        <w:adjustRightInd w:val="0"/>
        <w:snapToGrid w:val="0"/>
        <w:spacing w:before="0" w:beforeAutospacing="0" w:after="0" w:afterAutospacing="0" w:line="360" w:lineRule="auto"/>
        <w:ind w:firstLine="630"/>
        <w:jc w:val="both"/>
        <w:rPr>
          <w:rFonts w:ascii="仿宋" w:hAnsi="仿宋" w:eastAsia="仿宋" w:cs="宋体"/>
          <w:b/>
          <w:color w:val="000000"/>
          <w:kern w:val="0"/>
          <w:sz w:val="32"/>
          <w:szCs w:val="32"/>
          <w:lang w:val="en-US" w:eastAsia="zh-CN" w:bidi="ar-SA"/>
        </w:rPr>
      </w:pPr>
      <w:r>
        <w:rPr>
          <w:rFonts w:hint="eastAsia" w:ascii="仿宋" w:hAnsi="仿宋" w:eastAsia="仿宋" w:cs="宋体"/>
          <w:b/>
          <w:color w:val="000000"/>
          <w:kern w:val="0"/>
          <w:sz w:val="32"/>
          <w:szCs w:val="32"/>
          <w:lang w:val="en-US" w:eastAsia="zh-CN" w:bidi="ar-SA"/>
        </w:rPr>
        <w:t>2.申请材料</w:t>
      </w:r>
    </w:p>
    <w:p w14:paraId="0D556116">
      <w:pPr>
        <w:widowControl w:val="0"/>
        <w:adjustRightInd w:val="0"/>
        <w:snapToGrid w:val="0"/>
        <w:spacing w:before="0" w:beforeAutospacing="0" w:after="0" w:afterAutospacing="0" w:line="360" w:lineRule="auto"/>
        <w:ind w:firstLine="629"/>
        <w:jc w:val="left"/>
        <w:rPr>
          <w:rFonts w:ascii="仿宋_GB2312" w:hAnsi="宋体" w:eastAsia="仿宋_GB2312" w:cs="宋体"/>
          <w:color w:val="000000"/>
          <w:kern w:val="0"/>
          <w:sz w:val="32"/>
          <w:szCs w:val="32"/>
          <w:highlight w:val="none"/>
          <w:lang w:val="en-US" w:eastAsia="zh-CN" w:bidi="ar-SA"/>
        </w:rPr>
      </w:pPr>
      <w:r>
        <w:rPr>
          <w:rFonts w:hint="eastAsia" w:ascii="仿宋_GB2312" w:hAnsi="宋体" w:eastAsia="仿宋_GB2312" w:cs="宋体"/>
          <w:color w:val="000000"/>
          <w:kern w:val="0"/>
          <w:sz w:val="32"/>
          <w:szCs w:val="32"/>
          <w:highlight w:val="none"/>
          <w:lang w:val="en-US" w:eastAsia="zh-CN" w:bidi="ar-SA"/>
        </w:rPr>
        <w:t>（1）《建筑业企业资质申请表》；</w:t>
      </w:r>
    </w:p>
    <w:p w14:paraId="307F57B0">
      <w:pPr>
        <w:widowControl w:val="0"/>
        <w:adjustRightInd w:val="0"/>
        <w:snapToGrid w:val="0"/>
        <w:spacing w:before="0" w:beforeAutospacing="0" w:after="0" w:afterAutospacing="0" w:line="360" w:lineRule="auto"/>
        <w:ind w:firstLine="629"/>
        <w:jc w:val="left"/>
        <w:rPr>
          <w:rFonts w:ascii="仿宋_GB2312" w:hAnsi="宋体" w:eastAsia="仿宋_GB2312" w:cs="宋体"/>
          <w:color w:val="000000"/>
          <w:kern w:val="0"/>
          <w:sz w:val="32"/>
          <w:szCs w:val="32"/>
          <w:highlight w:val="none"/>
          <w:lang w:val="en-US" w:eastAsia="zh-CN" w:bidi="ar-SA"/>
        </w:rPr>
      </w:pPr>
      <w:r>
        <w:rPr>
          <w:rFonts w:hint="eastAsia" w:ascii="仿宋_GB2312" w:hAnsi="宋体" w:eastAsia="仿宋_GB2312" w:cs="宋体"/>
          <w:color w:val="000000"/>
          <w:kern w:val="0"/>
          <w:sz w:val="32"/>
          <w:szCs w:val="32"/>
          <w:highlight w:val="none"/>
          <w:lang w:val="en-US" w:eastAsia="zh-CN" w:bidi="ar-SA"/>
        </w:rPr>
        <w:t>（2）综合资料：营业执照复印件、资质证书复印件、财务报表、厂房和设备（部分专业要求）；</w:t>
      </w:r>
    </w:p>
    <w:p w14:paraId="7D87BD50">
      <w:pPr>
        <w:widowControl w:val="0"/>
        <w:adjustRightInd w:val="0"/>
        <w:snapToGrid w:val="0"/>
        <w:spacing w:before="0" w:beforeAutospacing="0" w:after="0" w:afterAutospacing="0" w:line="360" w:lineRule="auto"/>
        <w:ind w:firstLine="629"/>
        <w:jc w:val="left"/>
        <w:rPr>
          <w:rFonts w:ascii="仿宋_GB2312" w:hAnsi="宋体" w:eastAsia="仿宋_GB2312" w:cs="宋体"/>
          <w:color w:val="000000"/>
          <w:kern w:val="0"/>
          <w:sz w:val="32"/>
          <w:szCs w:val="32"/>
          <w:highlight w:val="none"/>
          <w:lang w:val="en-US" w:eastAsia="zh-CN" w:bidi="ar-SA"/>
        </w:rPr>
      </w:pPr>
      <w:r>
        <w:rPr>
          <w:rFonts w:hint="eastAsia" w:ascii="仿宋_GB2312" w:hAnsi="宋体" w:eastAsia="仿宋_GB2312" w:cs="宋体"/>
          <w:color w:val="000000"/>
          <w:kern w:val="0"/>
          <w:sz w:val="32"/>
          <w:szCs w:val="32"/>
          <w:highlight w:val="none"/>
          <w:lang w:val="en-US" w:eastAsia="zh-CN" w:bidi="ar-SA"/>
        </w:rPr>
        <w:t>（3）人员资料：技术负责人、建造师按标准考核，其他人员需满足所申请专业最低等级资质标准要求，其中取消对持有岗位证书现场管理人员的指标考核；</w:t>
      </w:r>
    </w:p>
    <w:p w14:paraId="398746F8">
      <w:pPr>
        <w:widowControl/>
        <w:adjustRightInd w:val="0"/>
        <w:snapToGrid w:val="0"/>
        <w:spacing w:before="0" w:beforeAutospacing="0" w:after="0" w:afterAutospacing="0" w:line="360" w:lineRule="auto"/>
        <w:ind w:firstLine="629"/>
        <w:jc w:val="left"/>
        <w:rPr>
          <w:rFonts w:ascii="仿宋_GB2312" w:hAnsi="宋体" w:eastAsia="仿宋_GB2312" w:cs="宋体"/>
          <w:color w:val="000000"/>
          <w:kern w:val="0"/>
          <w:sz w:val="32"/>
          <w:szCs w:val="32"/>
          <w:highlight w:val="none"/>
          <w:lang w:val="en-US" w:eastAsia="zh-CN" w:bidi="ar-SA"/>
        </w:rPr>
      </w:pPr>
      <w:r>
        <w:rPr>
          <w:rFonts w:hint="eastAsia" w:ascii="仿宋_GB2312" w:hAnsi="宋体" w:eastAsia="仿宋_GB2312" w:cs="宋体"/>
          <w:color w:val="000000"/>
          <w:kern w:val="0"/>
          <w:sz w:val="32"/>
          <w:szCs w:val="32"/>
          <w:highlight w:val="none"/>
          <w:lang w:val="en-US" w:eastAsia="zh-CN" w:bidi="ar-SA"/>
        </w:rPr>
        <w:t>（4）业绩资料：申报专</w:t>
      </w:r>
      <w:bookmarkStart w:id="3" w:name="_GoBack"/>
      <w:bookmarkEnd w:id="3"/>
      <w:r>
        <w:rPr>
          <w:rFonts w:hint="eastAsia" w:ascii="仿宋_GB2312" w:hAnsi="宋体" w:eastAsia="仿宋_GB2312" w:cs="宋体"/>
          <w:color w:val="000000"/>
          <w:kern w:val="0"/>
          <w:sz w:val="32"/>
          <w:szCs w:val="32"/>
          <w:highlight w:val="none"/>
          <w:lang w:val="en-US" w:eastAsia="zh-CN" w:bidi="ar-SA"/>
        </w:rPr>
        <w:t>业的技术负责人或建造师主持完成的业绩需满足资质标准中申报等级对企业的业绩要求，填写《技术负责人（或注册人员）基本情况及业绩表》。</w:t>
      </w:r>
    </w:p>
    <w:p w14:paraId="3DAB0700">
      <w:pPr>
        <w:suppressAutoHyphens/>
        <w:bidi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二、积极推动建筑市场创新发展</w:t>
      </w:r>
    </w:p>
    <w:p w14:paraId="50B54F40">
      <w:pPr>
        <w:suppressAutoHyphens/>
        <w:bidi w:val="0"/>
        <w:snapToGrid w:val="0"/>
        <w:spacing w:line="360" w:lineRule="auto"/>
        <w:ind w:firstLine="643" w:firstLineChars="200"/>
        <w:rPr>
          <w:rFonts w:ascii="楷体" w:hAnsi="楷体" w:eastAsia="楷体"/>
          <w:b/>
          <w:sz w:val="32"/>
          <w:szCs w:val="32"/>
        </w:rPr>
      </w:pPr>
      <w:r>
        <w:rPr>
          <w:rFonts w:hint="eastAsia" w:ascii="楷体" w:hAnsi="楷体" w:eastAsia="楷体"/>
          <w:b/>
          <w:color w:val="000000"/>
          <w:sz w:val="32"/>
          <w:szCs w:val="32"/>
        </w:rPr>
        <w:t>（一）</w:t>
      </w:r>
      <w:r>
        <w:rPr>
          <w:rFonts w:hint="eastAsia" w:ascii="楷体" w:hAnsi="楷体" w:eastAsia="楷体"/>
          <w:b/>
          <w:sz w:val="32"/>
          <w:szCs w:val="32"/>
        </w:rPr>
        <w:t>推动企业联合经营</w:t>
      </w:r>
    </w:p>
    <w:p w14:paraId="439852F5">
      <w:pPr>
        <w:suppressAutoHyphens/>
        <w:bidi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鼓励省内企业与央企、省外企业联合经营，推动形成央企带动地方企业、国有企业带动民营企业、大企业带动小企业共同发展的格局，实现重大项目工程质量可追溯、可回访的优势。鼓励具备条件的轨道交通、道路桥梁、综合管廊等大型基础设施项目多标段的，选择1-2个标段开展联合体招标，促进相关企业优势互补，合作共赢，保障高质量完成项目。</w:t>
      </w:r>
    </w:p>
    <w:p w14:paraId="6884C1A0">
      <w:pPr>
        <w:suppressAutoHyphens/>
        <w:bidi w:val="0"/>
        <w:snapToGrid w:val="0"/>
        <w:spacing w:line="360" w:lineRule="auto"/>
        <w:ind w:firstLine="643" w:firstLineChars="200"/>
        <w:rPr>
          <w:rFonts w:ascii="仿宋" w:hAnsi="仿宋" w:eastAsia="仿宋"/>
          <w:b/>
          <w:sz w:val="32"/>
          <w:szCs w:val="32"/>
        </w:rPr>
      </w:pPr>
      <w:r>
        <w:rPr>
          <w:rFonts w:hint="eastAsia" w:ascii="楷体" w:hAnsi="楷体" w:eastAsia="楷体"/>
          <w:b/>
          <w:color w:val="000000"/>
          <w:sz w:val="32"/>
          <w:szCs w:val="32"/>
        </w:rPr>
        <w:t>（二）鼓励绿色建造方式</w:t>
      </w:r>
    </w:p>
    <w:p w14:paraId="059E49A4">
      <w:pPr>
        <w:suppressAutoHyphens/>
        <w:bidi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鼓励新建房屋建筑工程及市政基础设施项目中采用装配式等绿色建造方式。在依法必须招标的民用建筑工程及市政基础设施项目招标时，应明确是否采用装配式、装配式建筑比例、装配率、实施范围等技术指标。</w:t>
      </w:r>
    </w:p>
    <w:p w14:paraId="36B1CD5B">
      <w:pPr>
        <w:suppressAutoHyphens/>
        <w:bidi w:val="0"/>
        <w:snapToGrid w:val="0"/>
        <w:spacing w:line="360" w:lineRule="auto"/>
        <w:ind w:firstLine="643" w:firstLineChars="200"/>
        <w:rPr>
          <w:rFonts w:ascii="楷体" w:hAnsi="楷体" w:eastAsia="楷体"/>
          <w:b/>
          <w:color w:val="000000"/>
          <w:sz w:val="32"/>
          <w:szCs w:val="32"/>
        </w:rPr>
      </w:pPr>
      <w:r>
        <w:rPr>
          <w:rFonts w:hint="eastAsia" w:ascii="楷体" w:hAnsi="楷体" w:eastAsia="楷体"/>
          <w:b/>
          <w:color w:val="000000"/>
          <w:sz w:val="32"/>
          <w:szCs w:val="32"/>
        </w:rPr>
        <w:t>（三）引导工程提质创优</w:t>
      </w:r>
    </w:p>
    <w:p w14:paraId="2D3011CB">
      <w:pPr>
        <w:suppressAutoHyphens/>
        <w:bidi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实行“优质优价”政策，建设单位应在发包时明确工程是否创优以及创优目标，将“优质优价”费用作为不可竞争费用单列，引导工程提质创优。依法必须招标的房屋建筑工程及市政基础设施项目，招标控制价应按照提出的工程质量争创目标单独计列工程“优质优价”费用，省级和国家级优质工程分别按照工程造价1%和1.5%计入，待工程创优成功后90日内一次性奖励承包单位。</w:t>
      </w:r>
    </w:p>
    <w:p w14:paraId="6ADBD1EF">
      <w:pPr>
        <w:widowControl/>
        <w:adjustRightInd w:val="0"/>
        <w:snapToGrid w:val="0"/>
        <w:spacing w:before="0" w:beforeAutospacing="0" w:after="0" w:afterAutospacing="0" w:line="360" w:lineRule="auto"/>
        <w:ind w:firstLine="629"/>
        <w:jc w:val="left"/>
        <w:rPr>
          <w:rFonts w:ascii="仿宋" w:hAnsi="仿宋" w:eastAsia="仿宋" w:cs="宋体"/>
          <w:b/>
          <w:kern w:val="0"/>
          <w:sz w:val="32"/>
          <w:szCs w:val="32"/>
          <w:lang w:val="en-US" w:eastAsia="zh-CN" w:bidi="ar-SA"/>
        </w:rPr>
      </w:pPr>
      <w:r>
        <w:rPr>
          <w:rFonts w:hint="eastAsia" w:ascii="楷体" w:hAnsi="楷体" w:eastAsia="楷体" w:cs="宋体"/>
          <w:b/>
          <w:color w:val="000000"/>
          <w:kern w:val="0"/>
          <w:sz w:val="32"/>
          <w:szCs w:val="32"/>
          <w:lang w:val="en-US" w:eastAsia="zh-CN" w:bidi="ar-SA"/>
        </w:rPr>
        <w:t>（四）规范工程价款结算</w:t>
      </w:r>
    </w:p>
    <w:p w14:paraId="45E8E2A8">
      <w:pPr>
        <w:widowControl/>
        <w:adjustRightInd w:val="0"/>
        <w:snapToGrid w:val="0"/>
        <w:spacing w:before="0" w:beforeAutospacing="0" w:after="0" w:afterAutospacing="0" w:line="360" w:lineRule="auto"/>
        <w:ind w:firstLine="629"/>
        <w:jc w:val="left"/>
        <w:rPr>
          <w:rFonts w:ascii="黑体" w:hAnsi="黑体" w:eastAsia="黑体" w:cs="宋体"/>
          <w:color w:val="000000"/>
          <w:kern w:val="0"/>
          <w:sz w:val="32"/>
          <w:szCs w:val="32"/>
          <w:lang w:val="en-US" w:eastAsia="zh-CN" w:bidi="ar-SA"/>
        </w:rPr>
      </w:pPr>
      <w:r>
        <w:rPr>
          <w:rFonts w:hint="eastAsia" w:ascii="仿宋" w:hAnsi="仿宋" w:eastAsia="仿宋" w:cs="宋体"/>
          <w:kern w:val="0"/>
          <w:sz w:val="32"/>
          <w:szCs w:val="32"/>
          <w:lang w:val="en-US" w:eastAsia="zh-CN" w:bidi="ar-SA"/>
        </w:rPr>
        <w:t>落实工程预付款和施工过程结算制度，规范招标文件中的预付款、进度款支付比例、节点以及风险条款，预付款</w:t>
      </w:r>
      <w:r>
        <w:rPr>
          <w:rFonts w:hint="eastAsia" w:ascii="仿宋" w:hAnsi="仿宋" w:eastAsia="仿宋" w:cs="宋体"/>
          <w:color w:val="000000"/>
          <w:kern w:val="0"/>
          <w:sz w:val="32"/>
          <w:szCs w:val="32"/>
          <w:lang w:val="en-US" w:eastAsia="zh-CN" w:bidi="ar-SA"/>
        </w:rPr>
        <w:t>一般应为</w:t>
      </w:r>
      <w:r>
        <w:rPr>
          <w:rFonts w:hint="eastAsia" w:ascii="仿宋" w:hAnsi="仿宋" w:eastAsia="仿宋" w:cs="宋体"/>
          <w:kern w:val="0"/>
          <w:sz w:val="32"/>
          <w:szCs w:val="32"/>
          <w:lang w:val="en-US" w:eastAsia="zh-CN" w:bidi="ar-SA"/>
        </w:rPr>
        <w:t>合同总价的10%，建设单位应按合同约定足额支付工程款，不得将未完成审计作为延期工程结算、拖欠工程款的理由。严格竣工结算管理，合同中应对结算时限、条件、标准等内容进行明确约定。结算文件经发承包双方签字确认后，未经对方同意，另一方不得就已生效的竣工结算文件委托工程造价咨询机构重复审核。除合同约定外，原则上审计机关的审计结论不作为竣工结算依据。</w:t>
      </w:r>
    </w:p>
    <w:p w14:paraId="4B928021">
      <w:pPr>
        <w:widowControl/>
        <w:adjustRightInd w:val="0"/>
        <w:snapToGrid w:val="0"/>
        <w:spacing w:before="0" w:beforeAutospacing="0" w:after="0" w:afterAutospacing="0" w:line="360" w:lineRule="auto"/>
        <w:ind w:firstLine="629"/>
        <w:jc w:val="left"/>
        <w:rPr>
          <w:rFonts w:ascii="黑体" w:hAnsi="黑体" w:eastAsia="黑体" w:cs="宋体"/>
          <w:color w:val="000000"/>
          <w:kern w:val="0"/>
          <w:sz w:val="26"/>
          <w:szCs w:val="26"/>
          <w:lang w:val="en-US" w:eastAsia="zh-CN" w:bidi="ar-SA"/>
        </w:rPr>
      </w:pPr>
      <w:r>
        <w:rPr>
          <w:rFonts w:hint="eastAsia" w:ascii="黑体" w:hAnsi="黑体" w:eastAsia="黑体" w:cs="宋体"/>
          <w:color w:val="000000"/>
          <w:kern w:val="0"/>
          <w:sz w:val="32"/>
          <w:szCs w:val="32"/>
          <w:lang w:val="en-US" w:eastAsia="zh-CN" w:bidi="ar-SA"/>
        </w:rPr>
        <w:t>三、强化监督管理</w:t>
      </w:r>
    </w:p>
    <w:p w14:paraId="4D328D42">
      <w:pPr>
        <w:widowControl/>
        <w:suppressAutoHyphens/>
        <w:bidi w:val="0"/>
        <w:adjustRightInd w:val="0"/>
        <w:snapToGrid w:val="0"/>
        <w:spacing w:line="360" w:lineRule="auto"/>
        <w:ind w:firstLine="645"/>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各级住房城乡建设、交通运输、水利、审批等部门可结合实际，研究制定具体实施细则，进一步调整优化招标投标、施工许可、质量安全监督、竣工验收备案等各环节的管理制度，确保有关政策规定落实落地。</w:t>
      </w:r>
    </w:p>
    <w:p w14:paraId="165AD308">
      <w:pPr>
        <w:widowControl/>
        <w:suppressAutoHyphens/>
        <w:bidi w:val="0"/>
        <w:adjustRightInd w:val="0"/>
        <w:snapToGrid w:val="0"/>
        <w:spacing w:line="360" w:lineRule="auto"/>
        <w:ind w:firstLine="645"/>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各级住房城乡建设、交通运输、水利主管部门要加强事中事后监管。对符合本通知要求承发包的工程项目，要及时予以办理施工许可。要加大对建筑业企业跨资质类别承接的工程质量安全监督力度，督促工程建设各方主体责任落实到位。对跨资质类别承接工程项目，发生违法违规问题，或工程进度、质量安全、造价控制不能满足承发包合同约定的，要及时责令整改、撤换，取消相关建筑业企业跨资质类别承揽业务资格，并依法依规做出处理。</w:t>
      </w:r>
    </w:p>
    <w:p w14:paraId="52F971C5">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（三）本通知自印发之日起施行。</w:t>
      </w:r>
    </w:p>
    <w:p w14:paraId="2D66FEB4">
      <w:pPr>
        <w:ind w:firstLine="640" w:firstLineChars="200"/>
        <w:rPr>
          <w:rFonts w:hint="eastAsia" w:ascii="仿宋_GB2312" w:hAnsi="宋体" w:eastAsia="仿宋_GB2312" w:cs="宋体"/>
          <w:color w:val="000000"/>
          <w:kern w:val="0"/>
          <w:sz w:val="32"/>
          <w:szCs w:val="32"/>
        </w:rPr>
      </w:pPr>
    </w:p>
    <w:p w14:paraId="67A34A00">
      <w:pPr>
        <w:keepNext w:val="0"/>
        <w:keepLines w:val="0"/>
        <w:pageBreakBefore w:val="0"/>
        <w:widowControl w:val="0"/>
        <w:suppressAutoHyphens/>
        <w:kinsoku/>
        <w:wordWrap/>
        <w:overflowPunct/>
        <w:topLinePunct w:val="0"/>
        <w:autoSpaceDE/>
        <w:autoSpaceDN/>
        <w:bidi w:val="0"/>
        <w:adjustRightInd/>
        <w:snapToGrid w:val="0"/>
        <w:spacing w:line="640" w:lineRule="exact"/>
        <w:contextualSpacing/>
        <w:jc w:val="center"/>
        <w:textAlignment w:val="auto"/>
        <w:outlineLvl w:val="1"/>
        <w:rPr>
          <w:rFonts w:hint="eastAsia" w:ascii="宋体" w:hAnsi="宋体" w:eastAsia="宋体" w:cs="宋体"/>
          <w:b/>
          <w:color w:val="000000"/>
          <w:kern w:val="0"/>
          <w:sz w:val="44"/>
          <w:szCs w:val="44"/>
        </w:rPr>
      </w:pPr>
      <w:r>
        <w:rPr>
          <w:rFonts w:hint="eastAsia" w:ascii="宋体" w:hAnsi="宋体" w:eastAsia="宋体" w:cs="宋体"/>
          <w:b/>
          <w:color w:val="000000"/>
          <w:kern w:val="0"/>
          <w:sz w:val="44"/>
          <w:szCs w:val="44"/>
        </w:rPr>
        <w:t>关于印发</w:t>
      </w:r>
      <w:r>
        <w:rPr>
          <w:rFonts w:hint="eastAsia" w:ascii="宋体" w:hAnsi="宋体" w:eastAsia="宋体" w:cs="宋体"/>
          <w:b/>
          <w:color w:val="000000"/>
          <w:kern w:val="0"/>
          <w:sz w:val="44"/>
          <w:szCs w:val="44"/>
          <w:lang w:eastAsia="zh-CN"/>
        </w:rPr>
        <w:t>《</w:t>
      </w:r>
      <w:r>
        <w:rPr>
          <w:rFonts w:hint="eastAsia" w:ascii="宋体" w:hAnsi="宋体" w:eastAsia="宋体" w:cs="宋体"/>
          <w:b/>
          <w:color w:val="000000"/>
          <w:kern w:val="0"/>
          <w:sz w:val="44"/>
          <w:szCs w:val="44"/>
        </w:rPr>
        <w:t>推进全省建筑业供给侧结构性改革工作方案</w:t>
      </w:r>
      <w:r>
        <w:rPr>
          <w:rFonts w:hint="eastAsia" w:ascii="宋体" w:hAnsi="宋体" w:eastAsia="宋体" w:cs="宋体"/>
          <w:b/>
          <w:color w:val="000000"/>
          <w:kern w:val="0"/>
          <w:sz w:val="44"/>
          <w:szCs w:val="44"/>
          <w:lang w:eastAsia="zh-CN"/>
        </w:rPr>
        <w:t>》</w:t>
      </w:r>
      <w:r>
        <w:rPr>
          <w:rFonts w:hint="eastAsia" w:ascii="宋体" w:hAnsi="宋体" w:eastAsia="宋体" w:cs="宋体"/>
          <w:b/>
          <w:color w:val="000000"/>
          <w:kern w:val="0"/>
          <w:sz w:val="44"/>
          <w:szCs w:val="44"/>
        </w:rPr>
        <w:t>的通知</w:t>
      </w:r>
    </w:p>
    <w:p w14:paraId="40EA42C6">
      <w:pPr>
        <w:suppressAutoHyphens/>
        <w:bidi w:val="0"/>
        <w:spacing w:line="560" w:lineRule="exact"/>
        <w:ind w:firstLine="640" w:firstLineChars="200"/>
        <w:rPr>
          <w:rFonts w:hint="eastAsia" w:ascii="仿宋_GB2312" w:hAnsi="仿宋_GB2312" w:eastAsia="仿宋_GB2312" w:cs="仿宋_GB2312"/>
          <w:sz w:val="32"/>
          <w:szCs w:val="40"/>
          <w:lang w:val="en-US" w:eastAsia="zh-CN"/>
        </w:rPr>
      </w:pPr>
    </w:p>
    <w:p w14:paraId="52470BE1">
      <w:pPr>
        <w:suppressAutoHyphens/>
        <w:bidi w:val="0"/>
        <w:spacing w:line="560" w:lineRule="exact"/>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（辽住建〔2018〕8号，</w:t>
      </w:r>
      <w:r>
        <w:rPr>
          <w:rFonts w:hint="eastAsia" w:ascii="仿宋_GB2312" w:hAnsi="仿宋_GB2312" w:eastAsia="仿宋_GB2312" w:cs="仿宋_GB2312"/>
          <w:sz w:val="32"/>
          <w:szCs w:val="40"/>
          <w:lang w:eastAsia="zh-CN"/>
        </w:rPr>
        <w:t>根据</w:t>
      </w:r>
      <w:r>
        <w:rPr>
          <w:rFonts w:hint="eastAsia" w:ascii="仿宋_GB2312" w:hAnsi="仿宋_GB2312" w:eastAsia="仿宋_GB2312" w:cs="仿宋_GB2312"/>
          <w:sz w:val="32"/>
          <w:szCs w:val="40"/>
          <w:lang w:val="en-US" w:eastAsia="zh-CN"/>
        </w:rPr>
        <w:t>2026年3月6日</w:t>
      </w:r>
      <w:r>
        <w:rPr>
          <w:rFonts w:hint="eastAsia" w:ascii="仿宋_GB2312" w:hAnsi="仿宋_GB2312" w:eastAsia="仿宋_GB2312" w:cs="仿宋_GB2312"/>
          <w:sz w:val="32"/>
          <w:szCs w:val="40"/>
          <w:lang w:eastAsia="zh-CN"/>
        </w:rPr>
        <w:t>辽住建〔202</w:t>
      </w: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3</w:t>
      </w:r>
      <w:r>
        <w:rPr>
          <w:rFonts w:hint="default"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lang w:eastAsia="zh-CN"/>
        </w:rPr>
        <w:t>号</w:t>
      </w:r>
      <w:r>
        <w:rPr>
          <w:rFonts w:hint="eastAsia" w:ascii="仿宋_GB2312" w:hAnsi="仿宋_GB2312" w:eastAsia="仿宋_GB2312" w:cs="仿宋_GB2312"/>
          <w:sz w:val="32"/>
          <w:szCs w:val="40"/>
          <w:lang w:val="en-US" w:eastAsia="zh-CN"/>
        </w:rPr>
        <w:t>修改。）</w:t>
      </w:r>
    </w:p>
    <w:p w14:paraId="1EEF0A96">
      <w:pPr>
        <w:keepNext w:val="0"/>
        <w:keepLines w:val="0"/>
        <w:pageBreakBefore w:val="0"/>
        <w:widowControl w:val="0"/>
        <w:suppressAutoHyphens/>
        <w:kinsoku/>
        <w:wordWrap/>
        <w:overflowPunct/>
        <w:topLinePunct w:val="0"/>
        <w:autoSpaceDE/>
        <w:autoSpaceDN/>
        <w:bidi w:val="0"/>
        <w:adjustRightInd/>
        <w:snapToGrid w:val="0"/>
        <w:spacing w:line="640" w:lineRule="exact"/>
        <w:contextualSpacing/>
        <w:jc w:val="both"/>
        <w:textAlignment w:val="auto"/>
        <w:outlineLvl w:val="1"/>
        <w:rPr>
          <w:rFonts w:hint="eastAsia" w:ascii="宋体" w:hAnsi="宋体" w:eastAsia="宋体" w:cs="宋体"/>
          <w:b/>
          <w:color w:val="000000"/>
          <w:kern w:val="0"/>
          <w:sz w:val="44"/>
          <w:szCs w:val="44"/>
        </w:rPr>
      </w:pPr>
    </w:p>
    <w:p w14:paraId="3F7AED9C">
      <w:pPr>
        <w:suppressAutoHyphens/>
        <w:bidi w:val="0"/>
        <w:snapToGrid w:val="0"/>
        <w:spacing w:line="360" w:lineRule="auto"/>
        <w:contextualSpacing/>
        <w:rPr>
          <w:rFonts w:ascii="仿宋" w:hAnsi="仿宋" w:eastAsia="仿宋" w:cs="Arial"/>
          <w:color w:val="000000"/>
          <w:kern w:val="0"/>
          <w:sz w:val="32"/>
          <w:szCs w:val="32"/>
        </w:rPr>
      </w:pPr>
      <w:r>
        <w:rPr>
          <w:rFonts w:ascii="仿宋" w:hAnsi="仿宋" w:eastAsia="仿宋" w:cs="Arial"/>
          <w:color w:val="000000"/>
          <w:kern w:val="0"/>
          <w:sz w:val="32"/>
          <w:szCs w:val="32"/>
        </w:rPr>
        <w:t>　　</w:t>
      </w:r>
      <w:r>
        <w:rPr>
          <w:rFonts w:hint="eastAsia" w:ascii="仿宋" w:hAnsi="仿宋" w:eastAsia="仿宋" w:cs="黑体"/>
          <w:sz w:val="32"/>
          <w:szCs w:val="32"/>
        </w:rPr>
        <w:t>为全面贯彻党的十九大精神，按照国务院《关于促进建筑业持续健康发展的意见》和省委“1+3+1+12”贯彻落实方案的要求，为</w:t>
      </w:r>
      <w:r>
        <w:rPr>
          <w:rFonts w:hint="eastAsia" w:ascii="仿宋" w:hAnsi="仿宋" w:eastAsia="仿宋" w:cs="Times New Roman"/>
          <w:sz w:val="32"/>
          <w:szCs w:val="32"/>
        </w:rPr>
        <w:t>推进建筑业发展，深化“放管服”改革，进一步优化产业结构，增强企业综合实力和竞争力，现就推进全省建筑业</w:t>
      </w:r>
      <w:r>
        <w:rPr>
          <w:rFonts w:hint="eastAsia" w:ascii="仿宋" w:hAnsi="仿宋" w:eastAsia="仿宋" w:cs="宋体"/>
          <w:color w:val="000000"/>
          <w:kern w:val="0"/>
          <w:sz w:val="32"/>
          <w:szCs w:val="32"/>
        </w:rPr>
        <w:t>供给侧结构性</w:t>
      </w:r>
      <w:r>
        <w:rPr>
          <w:rFonts w:hint="eastAsia" w:ascii="仿宋" w:hAnsi="仿宋" w:eastAsia="仿宋" w:cs="Times New Roman"/>
          <w:sz w:val="32"/>
          <w:szCs w:val="32"/>
        </w:rPr>
        <w:t>改革，制订以下工作方案。</w:t>
      </w:r>
    </w:p>
    <w:p w14:paraId="6D3FBAD9">
      <w:pPr>
        <w:suppressAutoHyphens/>
        <w:bidi w:val="0"/>
        <w:snapToGrid w:val="0"/>
        <w:spacing w:line="360" w:lineRule="auto"/>
        <w:ind w:firstLine="630"/>
        <w:contextualSpacing/>
        <w:jc w:val="left"/>
        <w:rPr>
          <w:rFonts w:ascii="黑体" w:hAnsi="黑体" w:eastAsia="黑体" w:cs="Arial"/>
          <w:color w:val="000000"/>
          <w:kern w:val="0"/>
          <w:sz w:val="32"/>
          <w:szCs w:val="32"/>
        </w:rPr>
      </w:pPr>
      <w:r>
        <w:rPr>
          <w:rFonts w:ascii="黑体" w:hAnsi="黑体" w:eastAsia="黑体" w:cs="Arial"/>
          <w:color w:val="000000"/>
          <w:kern w:val="0"/>
          <w:sz w:val="32"/>
          <w:szCs w:val="32"/>
        </w:rPr>
        <w:t>一、</w:t>
      </w:r>
      <w:r>
        <w:rPr>
          <w:rFonts w:hint="eastAsia" w:ascii="黑体" w:hAnsi="黑体" w:eastAsia="黑体" w:cs="Arial"/>
          <w:color w:val="000000"/>
          <w:kern w:val="0"/>
          <w:sz w:val="32"/>
          <w:szCs w:val="32"/>
        </w:rPr>
        <w:t>指导思想</w:t>
      </w:r>
    </w:p>
    <w:p w14:paraId="50A8E6A2">
      <w:pPr>
        <w:suppressAutoHyphens/>
        <w:bidi w:val="0"/>
        <w:snapToGrid w:val="0"/>
        <w:spacing w:line="360" w:lineRule="auto"/>
        <w:ind w:firstLine="645"/>
        <w:contextualSpacing/>
        <w:jc w:val="left"/>
        <w:rPr>
          <w:rFonts w:ascii="仿宋" w:hAnsi="仿宋" w:eastAsia="仿宋" w:cs="Arial"/>
          <w:color w:val="000000"/>
          <w:kern w:val="0"/>
          <w:sz w:val="32"/>
          <w:szCs w:val="32"/>
        </w:rPr>
      </w:pPr>
      <w:r>
        <w:rPr>
          <w:rFonts w:hint="eastAsia" w:ascii="仿宋" w:hAnsi="仿宋" w:eastAsia="仿宋" w:cs="Arial"/>
          <w:color w:val="000000"/>
          <w:kern w:val="0"/>
          <w:sz w:val="32"/>
          <w:szCs w:val="32"/>
        </w:rPr>
        <w:t>全面贯彻落实党的十九大精神，以习近平新时代中国特色社会主义思想为指导，牢固树立“四个意识”，坚决贯彻落实党中央、国务院和省委省政府的决策部署，坚持稳中求进的工作总基调，坚持新发展理念，紧扣我国社会主要矛盾变化，着力解决建筑业发展不平衡不充分问题，按照高质量发展要求，统筹推进“五位一体”总体布局和协调推进“四个全面”战略布局，坚持以供给侧结构性改革为主线，推动建筑业发展质量变革、效率变革、动力变革，为辽宁决胜全面建成小康社会，加快老工业基地全面振兴提供有力支撑。</w:t>
      </w:r>
    </w:p>
    <w:p w14:paraId="139CAA16">
      <w:pPr>
        <w:suppressAutoHyphens/>
        <w:bidi w:val="0"/>
        <w:snapToGrid w:val="0"/>
        <w:spacing w:line="360" w:lineRule="auto"/>
        <w:ind w:firstLine="645"/>
        <w:contextualSpacing/>
        <w:jc w:val="left"/>
        <w:rPr>
          <w:rFonts w:ascii="黑体" w:hAnsi="黑体" w:eastAsia="黑体" w:cs="Arial"/>
          <w:color w:val="000000"/>
          <w:kern w:val="0"/>
          <w:sz w:val="32"/>
          <w:szCs w:val="32"/>
        </w:rPr>
      </w:pPr>
      <w:r>
        <w:rPr>
          <w:rFonts w:hint="eastAsia" w:ascii="黑体" w:hAnsi="黑体" w:eastAsia="黑体" w:cs="Arial"/>
          <w:color w:val="000000"/>
          <w:kern w:val="0"/>
          <w:sz w:val="32"/>
          <w:szCs w:val="32"/>
        </w:rPr>
        <w:t>二、发展目标</w:t>
      </w:r>
    </w:p>
    <w:p w14:paraId="0A783564">
      <w:pPr>
        <w:suppressAutoHyphens/>
        <w:bidi w:val="0"/>
        <w:snapToGrid w:val="0"/>
        <w:spacing w:line="360" w:lineRule="auto"/>
        <w:ind w:firstLine="645"/>
        <w:contextualSpacing/>
        <w:jc w:val="left"/>
        <w:rPr>
          <w:rFonts w:ascii="仿宋" w:hAnsi="仿宋" w:eastAsia="仿宋" w:cs="Arial"/>
          <w:color w:val="000000"/>
          <w:kern w:val="0"/>
          <w:sz w:val="32"/>
          <w:szCs w:val="32"/>
        </w:rPr>
      </w:pPr>
      <w:r>
        <w:rPr>
          <w:rFonts w:hint="eastAsia" w:ascii="仿宋" w:hAnsi="仿宋" w:eastAsia="仿宋" w:cs="Arial"/>
          <w:color w:val="000000"/>
          <w:kern w:val="0"/>
          <w:sz w:val="32"/>
          <w:szCs w:val="32"/>
        </w:rPr>
        <w:t>建筑业总产值稳步增长，2020年底达到全国中上游水平，充分实现支柱产业作用。企业数量和资质等级稳步提高，企业竞争力明显提升。产业结构不断优化，建筑服务业进一步发展，建筑市场信用体系不断完善，建筑市场秩序更加规范。装配式建筑、绿色建筑比例逐年提高，</w:t>
      </w:r>
      <w:r>
        <w:rPr>
          <w:rFonts w:hint="eastAsia" w:ascii="仿宋" w:hAnsi="仿宋" w:eastAsia="仿宋" w:cs="黑体"/>
          <w:sz w:val="32"/>
          <w:szCs w:val="32"/>
        </w:rPr>
        <w:t xml:space="preserve"> 2020年底，全省装配式建筑占新建建筑面积的比例达到20%以上，绿色建筑占城镇新建建筑比例达到50%</w:t>
      </w:r>
      <w:r>
        <w:rPr>
          <w:rFonts w:hint="eastAsia" w:ascii="仿宋" w:hAnsi="仿宋" w:eastAsia="仿宋" w:cs="Arial"/>
          <w:color w:val="000000"/>
          <w:kern w:val="0"/>
          <w:sz w:val="32"/>
          <w:szCs w:val="32"/>
        </w:rPr>
        <w:t>。</w:t>
      </w:r>
    </w:p>
    <w:p w14:paraId="636C6A18">
      <w:pPr>
        <w:numPr>
          <w:ilvl w:val="0"/>
          <w:numId w:val="4"/>
        </w:numPr>
        <w:suppressAutoHyphens/>
        <w:bidi w:val="0"/>
        <w:snapToGrid w:val="0"/>
        <w:spacing w:line="360" w:lineRule="auto"/>
        <w:ind w:left="1365" w:hanging="720"/>
        <w:contextualSpacing/>
        <w:jc w:val="left"/>
        <w:rPr>
          <w:rFonts w:ascii="黑体" w:hAnsi="黑体" w:eastAsia="黑体" w:cs="Arial"/>
          <w:color w:val="000000"/>
          <w:kern w:val="0"/>
          <w:sz w:val="32"/>
          <w:szCs w:val="32"/>
        </w:rPr>
      </w:pPr>
      <w:r>
        <w:rPr>
          <w:rFonts w:ascii="黑体" w:hAnsi="黑体" w:eastAsia="黑体" w:cs="Arial"/>
          <w:color w:val="000000"/>
          <w:kern w:val="0"/>
          <w:sz w:val="32"/>
          <w:szCs w:val="32"/>
        </w:rPr>
        <w:t>主要任务</w:t>
      </w:r>
    </w:p>
    <w:p w14:paraId="4FEBCF3D">
      <w:pPr>
        <w:suppressAutoHyphens/>
        <w:bidi w:val="0"/>
        <w:snapToGrid w:val="0"/>
        <w:spacing w:line="360" w:lineRule="auto"/>
        <w:ind w:left="645"/>
        <w:contextualSpacing/>
        <w:jc w:val="left"/>
        <w:rPr>
          <w:rFonts w:ascii="仿宋" w:hAnsi="仿宋" w:eastAsia="仿宋" w:cs="Arial"/>
          <w:b/>
          <w:color w:val="000000"/>
          <w:kern w:val="0"/>
          <w:sz w:val="32"/>
          <w:szCs w:val="32"/>
        </w:rPr>
      </w:pPr>
      <w:r>
        <w:rPr>
          <w:rFonts w:hint="eastAsia" w:ascii="楷体" w:hAnsi="楷体" w:eastAsia="楷体" w:cs="楷体"/>
          <w:b/>
          <w:color w:val="000000"/>
          <w:kern w:val="0"/>
          <w:sz w:val="32"/>
          <w:szCs w:val="32"/>
        </w:rPr>
        <w:t>（一）深化建筑业“放管服”改革</w:t>
      </w:r>
    </w:p>
    <w:p w14:paraId="7D806936">
      <w:pPr>
        <w:suppressAutoHyphens/>
        <w:bidi w:val="0"/>
        <w:snapToGrid w:val="0"/>
        <w:spacing w:line="360" w:lineRule="auto"/>
        <w:ind w:firstLine="643" w:firstLineChars="200"/>
        <w:contextualSpacing/>
        <w:jc w:val="left"/>
        <w:rPr>
          <w:rFonts w:ascii="仿宋" w:hAnsi="仿宋" w:eastAsia="仿宋" w:cs="Arial"/>
          <w:color w:val="000000"/>
          <w:kern w:val="0"/>
          <w:sz w:val="32"/>
          <w:szCs w:val="32"/>
        </w:rPr>
      </w:pPr>
      <w:r>
        <w:rPr>
          <w:rFonts w:hint="eastAsia" w:ascii="仿宋" w:hAnsi="仿宋" w:eastAsia="仿宋" w:cs="Arial"/>
          <w:b/>
          <w:color w:val="000000"/>
          <w:kern w:val="0"/>
          <w:sz w:val="32"/>
          <w:szCs w:val="32"/>
        </w:rPr>
        <w:t>1.完善市场诚信体系。</w:t>
      </w:r>
      <w:r>
        <w:rPr>
          <w:rFonts w:hint="eastAsia" w:ascii="仿宋" w:hAnsi="仿宋" w:eastAsia="仿宋" w:cs="Arial"/>
          <w:color w:val="000000"/>
          <w:kern w:val="0"/>
          <w:sz w:val="32"/>
          <w:szCs w:val="32"/>
        </w:rPr>
        <w:t>整合各地建筑市场诚信信息平台，实现跨部门、跨地区、跨层级信用信息的共用共享、互联互通。建立建筑市场信用评价制度，实现动态量化信用评价，推进信用评价结果应用。建立诚信信息征集、发布制度，提高诚信信息征集、发布的时效性与准确性，增强诚信信息的公开性和透明度。以开展建筑市场检查和专项整治等形式，加强对违法承发包、拖欠工程款、拖欠农民工工资等行为的查处和惩戒力度，严厉惩处建筑市场失信行为。</w:t>
      </w:r>
    </w:p>
    <w:p w14:paraId="4DA886B4">
      <w:pPr>
        <w:suppressAutoHyphens/>
        <w:bidi w:val="0"/>
        <w:snapToGrid w:val="0"/>
        <w:spacing w:line="360" w:lineRule="auto"/>
        <w:ind w:firstLine="643" w:firstLineChars="200"/>
        <w:contextualSpacing/>
        <w:jc w:val="left"/>
        <w:rPr>
          <w:rFonts w:ascii="仿宋" w:hAnsi="仿宋" w:eastAsia="仿宋" w:cs="Arial"/>
          <w:color w:val="000000"/>
          <w:kern w:val="0"/>
          <w:sz w:val="32"/>
          <w:szCs w:val="32"/>
        </w:rPr>
      </w:pPr>
      <w:r>
        <w:rPr>
          <w:rFonts w:hint="eastAsia" w:ascii="仿宋" w:hAnsi="仿宋" w:eastAsia="仿宋" w:cs="Arial"/>
          <w:b/>
          <w:color w:val="000000"/>
          <w:kern w:val="0"/>
          <w:sz w:val="32"/>
          <w:szCs w:val="32"/>
        </w:rPr>
        <w:t>2.推进审批制度改革。</w:t>
      </w:r>
      <w:r>
        <w:rPr>
          <w:rFonts w:hint="eastAsia" w:ascii="仿宋" w:hAnsi="仿宋" w:eastAsia="仿宋" w:cs="Arial"/>
          <w:color w:val="000000"/>
          <w:kern w:val="0"/>
          <w:sz w:val="32"/>
          <w:szCs w:val="32"/>
        </w:rPr>
        <w:t>全面实行清单管理制度，制定涉及建筑业部门的权力和责任清单。加大简政放权工作力度，凡可同步下放的务必同步下放。简化建筑业行政审批流程，鼓励支持工程建设项目多评合一、多审合一、多图联审、联合验收等新模式。加快实施建筑业行政审批“互联网+政务服务”，积极推进自建系统、部建系统与辽宁政务服务系统的对接工作。研究制定行政审批纸质材料流转向电子化流转过渡的实施办法，全面推行网上审批工作。完善事中事后监管机制，实现“双随机、一公开”监管全覆盖。</w:t>
      </w:r>
    </w:p>
    <w:p w14:paraId="763F4085">
      <w:pPr>
        <w:suppressAutoHyphens/>
        <w:bidi w:val="0"/>
        <w:snapToGrid w:val="0"/>
        <w:spacing w:line="360" w:lineRule="auto"/>
        <w:ind w:firstLine="643" w:firstLineChars="200"/>
        <w:contextualSpacing/>
        <w:jc w:val="left"/>
        <w:rPr>
          <w:rFonts w:ascii="仿宋" w:hAnsi="仿宋" w:eastAsia="仿宋" w:cs="Arial"/>
          <w:color w:val="000000"/>
          <w:kern w:val="0"/>
          <w:sz w:val="32"/>
          <w:szCs w:val="32"/>
        </w:rPr>
      </w:pPr>
      <w:r>
        <w:rPr>
          <w:rFonts w:hint="eastAsia" w:ascii="仿宋" w:hAnsi="仿宋" w:eastAsia="仿宋" w:cs="Arial"/>
          <w:b/>
          <w:color w:val="000000"/>
          <w:kern w:val="0"/>
          <w:sz w:val="32"/>
          <w:szCs w:val="32"/>
        </w:rPr>
        <w:t>3.继续清理规范工程建设领域保证金。</w:t>
      </w:r>
      <w:r>
        <w:rPr>
          <w:rFonts w:hint="eastAsia" w:ascii="仿宋" w:hAnsi="仿宋" w:eastAsia="仿宋" w:cs="Arial"/>
          <w:color w:val="000000"/>
          <w:kern w:val="0"/>
          <w:sz w:val="32"/>
          <w:szCs w:val="32"/>
        </w:rPr>
        <w:t>出台辽宁省建设工程质量保证金管理办法，配合人社部门出台辽宁省农民工工资保证金管理办法。设立投诉举报电话和信箱，协调解决清理规范工程建设领域保证金工作的有关问题。继续开展清理规范保证金举报查处工作，严厉打击新发生逾期未返和超额收取保证金等行为。</w:t>
      </w:r>
    </w:p>
    <w:p w14:paraId="745AC67F">
      <w:pPr>
        <w:suppressAutoHyphens/>
        <w:bidi w:val="0"/>
        <w:snapToGrid w:val="0"/>
        <w:spacing w:line="360" w:lineRule="auto"/>
        <w:ind w:firstLine="643" w:firstLineChars="200"/>
        <w:contextualSpacing/>
        <w:jc w:val="left"/>
        <w:rPr>
          <w:rFonts w:ascii="仿宋" w:hAnsi="仿宋" w:eastAsia="仿宋" w:cs="Arial"/>
          <w:color w:val="000000"/>
          <w:kern w:val="0"/>
          <w:sz w:val="32"/>
          <w:szCs w:val="32"/>
        </w:rPr>
      </w:pPr>
      <w:r>
        <w:rPr>
          <w:rFonts w:hint="eastAsia" w:ascii="仿宋" w:hAnsi="仿宋" w:eastAsia="仿宋" w:cs="Arial"/>
          <w:b/>
          <w:color w:val="000000"/>
          <w:kern w:val="0"/>
          <w:sz w:val="32"/>
          <w:szCs w:val="32"/>
        </w:rPr>
        <w:t>4.推行工程担保制度。</w:t>
      </w:r>
      <w:r>
        <w:rPr>
          <w:rFonts w:hint="eastAsia" w:ascii="仿宋" w:hAnsi="仿宋" w:eastAsia="仿宋" w:cs="Arial"/>
          <w:color w:val="000000"/>
          <w:kern w:val="0"/>
          <w:sz w:val="32"/>
          <w:szCs w:val="32"/>
        </w:rPr>
        <w:t>将投标、履约、农民工工资、工程质量保证金等纳入工程担保范围，优先采用银行保函、工程担保机构担保等方式代替现金，降低运营成本。切实建立双向担保制度，适时引入保险机制，推行建设工程保证保险。</w:t>
      </w:r>
    </w:p>
    <w:p w14:paraId="67847515">
      <w:pPr>
        <w:suppressAutoHyphens/>
        <w:bidi w:val="0"/>
        <w:snapToGrid w:val="0"/>
        <w:spacing w:line="360" w:lineRule="auto"/>
        <w:ind w:firstLine="643" w:firstLineChars="200"/>
        <w:contextualSpacing/>
        <w:jc w:val="left"/>
        <w:rPr>
          <w:rFonts w:ascii="仿宋" w:hAnsi="仿宋" w:eastAsia="仿宋" w:cs="Arial"/>
          <w:color w:val="000000"/>
          <w:kern w:val="0"/>
          <w:sz w:val="32"/>
          <w:szCs w:val="32"/>
        </w:rPr>
      </w:pPr>
      <w:r>
        <w:rPr>
          <w:rFonts w:hint="eastAsia" w:ascii="仿宋" w:hAnsi="仿宋" w:eastAsia="仿宋" w:cs="Arial"/>
          <w:b/>
          <w:color w:val="000000"/>
          <w:kern w:val="0"/>
          <w:sz w:val="32"/>
          <w:szCs w:val="32"/>
        </w:rPr>
        <w:t>5.加强工程结算管理。</w:t>
      </w:r>
      <w:r>
        <w:rPr>
          <w:rFonts w:hint="eastAsia" w:ascii="仿宋" w:hAnsi="仿宋" w:eastAsia="仿宋" w:cs="Arial"/>
          <w:color w:val="000000"/>
          <w:kern w:val="0"/>
          <w:sz w:val="32"/>
          <w:szCs w:val="32"/>
        </w:rPr>
        <w:t>推行施工过程结算，加强建设单位按合同约定或工程进度进行结算和支付的管理工作。严格竣工结算时限要求，严肃竣工结算审核工作，杜绝单方对已确认的结算文件重复审核。审计机关依法进行审计监督的审计结论不作为竣工结算的依据。将竣工结算作为竣工备案的必要条件。建立并完善竣工结算管理制度和系统平台，对经甲、乙双方签字盖章认可的工程结算文件进行备案。加强工程价款结算纠纷调解，建立完善工程纠纷调解平台。</w:t>
      </w:r>
    </w:p>
    <w:p w14:paraId="4DA4EB8C">
      <w:pPr>
        <w:suppressAutoHyphens/>
        <w:bidi w:val="0"/>
        <w:snapToGrid w:val="0"/>
        <w:spacing w:line="360" w:lineRule="auto"/>
        <w:ind w:left="645"/>
        <w:contextualSpacing/>
        <w:jc w:val="left"/>
        <w:rPr>
          <w:rFonts w:ascii="楷体" w:hAnsi="楷体" w:eastAsia="楷体" w:cs="楷体"/>
          <w:b/>
          <w:color w:val="000000"/>
          <w:kern w:val="0"/>
          <w:sz w:val="32"/>
          <w:szCs w:val="32"/>
        </w:rPr>
      </w:pPr>
      <w:r>
        <w:rPr>
          <w:rFonts w:hint="eastAsia" w:ascii="楷体" w:hAnsi="楷体" w:eastAsia="楷体" w:cs="楷体"/>
          <w:b/>
          <w:color w:val="000000"/>
          <w:kern w:val="0"/>
          <w:sz w:val="32"/>
          <w:szCs w:val="32"/>
        </w:rPr>
        <w:t>（二）推进行业转型升级。</w:t>
      </w:r>
    </w:p>
    <w:p w14:paraId="75AF32F0">
      <w:pPr>
        <w:suppressAutoHyphens/>
        <w:bidi w:val="0"/>
        <w:snapToGrid w:val="0"/>
        <w:spacing w:line="360" w:lineRule="auto"/>
        <w:ind w:left="161" w:firstLine="643" w:firstLineChars="200"/>
        <w:contextualSpacing/>
        <w:rPr>
          <w:rFonts w:ascii="仿宋_GB2312" w:hAnsi="仿宋_GB2312" w:eastAsia="仿宋_GB2312" w:cs="仿宋_GB2312"/>
          <w:sz w:val="32"/>
          <w:szCs w:val="32"/>
        </w:rPr>
      </w:pPr>
      <w:r>
        <w:rPr>
          <w:rFonts w:hint="eastAsia" w:ascii="仿宋" w:hAnsi="仿宋" w:eastAsia="仿宋" w:cs="Arial"/>
          <w:b/>
          <w:color w:val="000000"/>
          <w:kern w:val="0"/>
          <w:sz w:val="32"/>
          <w:szCs w:val="32"/>
        </w:rPr>
        <w:t>1.大力发展装配式建筑。</w:t>
      </w:r>
      <w:r>
        <w:rPr>
          <w:rFonts w:hint="eastAsia" w:ascii="仿宋" w:hAnsi="仿宋" w:eastAsia="仿宋" w:cs="仿宋"/>
          <w:sz w:val="32"/>
          <w:szCs w:val="32"/>
        </w:rPr>
        <w:t>大力推广适合工业化生产的装配式混凝土结构、钢结构建筑及适合工业化项目建设的适宜技术，鼓励和支持具备条件的地区倡导现代木结构建筑，积极发挥政府投资工程率先示范作用。</w:t>
      </w:r>
      <w:r>
        <w:rPr>
          <w:rFonts w:hint="eastAsia" w:ascii="仿宋_GB2312" w:hAnsi="仿宋_GB2312" w:eastAsia="仿宋_GB2312" w:cs="仿宋_GB2312"/>
          <w:sz w:val="32"/>
          <w:szCs w:val="32"/>
        </w:rPr>
        <w:t>建立装配式建筑产业联盟，整合产业链资源，推进装配式建筑集约化发展。</w:t>
      </w:r>
      <w:r>
        <w:rPr>
          <w:rFonts w:hint="eastAsia" w:ascii="仿宋" w:hAnsi="仿宋" w:eastAsia="仿宋" w:cs="仿宋"/>
          <w:bCs/>
          <w:sz w:val="32"/>
          <w:szCs w:val="32"/>
        </w:rPr>
        <w:t>创新完善与装配式建筑相适应的工程建设全过程监管机制，建立健全部品部件生产、检验检测、装配施工及验收的全过程质量保证体系，开展装配式建筑性能和部品部件评价。继续争创国家装配式建筑示范城市和产业基地。</w:t>
      </w:r>
    </w:p>
    <w:p w14:paraId="3BDD60A7">
      <w:pPr>
        <w:suppressAutoHyphens/>
        <w:bidi w:val="0"/>
        <w:snapToGrid w:val="0"/>
        <w:spacing w:line="360" w:lineRule="auto"/>
        <w:ind w:firstLine="643" w:firstLineChars="200"/>
        <w:contextualSpacing/>
        <w:rPr>
          <w:rFonts w:ascii="仿宋" w:hAnsi="仿宋" w:eastAsia="仿宋" w:cs="仿宋"/>
          <w:sz w:val="32"/>
          <w:szCs w:val="32"/>
        </w:rPr>
      </w:pPr>
      <w:r>
        <w:rPr>
          <w:rFonts w:hint="eastAsia" w:ascii="仿宋" w:hAnsi="仿宋" w:eastAsia="仿宋" w:cs="仿宋"/>
          <w:b/>
          <w:sz w:val="32"/>
          <w:szCs w:val="32"/>
        </w:rPr>
        <w:t>2.发展工程总承包。</w:t>
      </w:r>
      <w:r>
        <w:rPr>
          <w:rFonts w:hint="eastAsia" w:ascii="仿宋" w:hAnsi="仿宋" w:eastAsia="仿宋" w:cs="仿宋"/>
          <w:sz w:val="32"/>
          <w:szCs w:val="32"/>
        </w:rPr>
        <w:t>政府投资项目和装配式建筑原则上采用工程总承包模式。培育一批工程总承包骨干企业，提高工程总承包的供给质量和能力。研究制定推进房屋建筑、市政公用以及装配式建筑工程总承包发展的配套政策措施，加强对工程总承包活动的监督管理。</w:t>
      </w:r>
    </w:p>
    <w:p w14:paraId="16CE2F14">
      <w:pPr>
        <w:suppressAutoHyphens/>
        <w:bidi w:val="0"/>
        <w:snapToGrid w:val="0"/>
        <w:spacing w:line="360" w:lineRule="auto"/>
        <w:ind w:firstLine="645"/>
        <w:contextualSpacing/>
        <w:rPr>
          <w:rFonts w:ascii="仿宋" w:hAnsi="仿宋" w:eastAsia="仿宋" w:cs="仿宋"/>
          <w:sz w:val="32"/>
          <w:szCs w:val="32"/>
        </w:rPr>
      </w:pPr>
      <w:r>
        <w:rPr>
          <w:rFonts w:hint="eastAsia" w:ascii="仿宋" w:hAnsi="仿宋" w:eastAsia="仿宋" w:cs="仿宋"/>
          <w:b/>
          <w:sz w:val="32"/>
          <w:szCs w:val="32"/>
        </w:rPr>
        <w:t>3.推行住宅建筑全装修。</w:t>
      </w:r>
      <w:r>
        <w:rPr>
          <w:rFonts w:hint="eastAsia" w:ascii="仿宋" w:hAnsi="仿宋" w:eastAsia="仿宋" w:cs="仿宋"/>
          <w:sz w:val="32"/>
          <w:szCs w:val="32"/>
        </w:rPr>
        <w:t>在城市中心区域全部推行新建住宅全装修，逐年提高成品住宅比例。鼓励住宅全装修项目实行工程总承包，实行装修设计与主体设计同步进行，装配式建筑装饰装修与主体结构、机电设备协同施工。积极推广标准化、集成化、模块化的装修模式，促进整体厨卫、软质隔墙等材料、产品和设备管线集成化技术的应用，提高装配化装修水平。倡导菜单式全装修，满足消费者个性化需求。</w:t>
      </w:r>
    </w:p>
    <w:p w14:paraId="028DF557">
      <w:pPr>
        <w:suppressAutoHyphens/>
        <w:bidi w:val="0"/>
        <w:snapToGrid w:val="0"/>
        <w:spacing w:line="360" w:lineRule="auto"/>
        <w:ind w:firstLine="645"/>
        <w:contextualSpacing/>
        <w:rPr>
          <w:rFonts w:ascii="仿宋" w:hAnsi="仿宋" w:eastAsia="仿宋" w:cs="仿宋"/>
          <w:sz w:val="32"/>
          <w:szCs w:val="32"/>
        </w:rPr>
      </w:pPr>
      <w:r>
        <w:rPr>
          <w:rFonts w:hint="eastAsia" w:ascii="仿宋" w:hAnsi="仿宋" w:eastAsia="仿宋" w:cs="仿宋"/>
          <w:b/>
          <w:sz w:val="32"/>
          <w:szCs w:val="32"/>
        </w:rPr>
        <w:t>4.促进绿色建筑发展。</w:t>
      </w:r>
      <w:r>
        <w:rPr>
          <w:rFonts w:hint="eastAsia" w:ascii="仿宋" w:hAnsi="仿宋" w:eastAsia="仿宋" w:cs="仿宋"/>
          <w:sz w:val="32"/>
          <w:szCs w:val="32"/>
        </w:rPr>
        <w:t>扩大绿色建筑实施范围，政府投资的党政机关、学校、医院等公共建筑，以及单体建筑面积超过2万平方米的大型公共建筑，率先按绿色建筑要求实施， 2025年全省新建建筑全部按要求实施。积极推进绿色生态住宅小区建设工作，2025年全省新建住宅小区都应符合绿色生态住宅小区要求。完善绿色建筑从规划设计、建筑设计、施工图审查、施工许可、竣工验收及备案等全过程监管。完善绿色建筑法规及标准体系，制定出台《辽宁省民用建筑节能条例》。提高绿色建筑占新建建筑面积比重，2020年实现绿色建筑占新建建筑面积的50%，并逐步提高。推广应用高性能混凝土，开展预拌混凝土绿色生产企业标识评价工作，2025年在全省的城区范围内全面推广应用。</w:t>
      </w:r>
    </w:p>
    <w:p w14:paraId="12FC2E7E">
      <w:pPr>
        <w:suppressAutoHyphens/>
        <w:bidi w:val="0"/>
        <w:snapToGrid w:val="0"/>
        <w:spacing w:line="360" w:lineRule="auto"/>
        <w:ind w:firstLine="645"/>
        <w:contextualSpacing/>
        <w:rPr>
          <w:rFonts w:ascii="仿宋" w:hAnsi="仿宋" w:eastAsia="仿宋" w:cs="仿宋"/>
          <w:sz w:val="32"/>
          <w:szCs w:val="32"/>
        </w:rPr>
      </w:pPr>
      <w:r>
        <w:rPr>
          <w:rFonts w:hint="eastAsia" w:ascii="仿宋" w:hAnsi="仿宋" w:eastAsia="仿宋" w:cs="仿宋"/>
          <w:b/>
          <w:sz w:val="32"/>
          <w:szCs w:val="32"/>
        </w:rPr>
        <w:t>5.发展建设科技。</w:t>
      </w:r>
      <w:r>
        <w:rPr>
          <w:rFonts w:hint="eastAsia" w:ascii="仿宋" w:hAnsi="仿宋" w:eastAsia="仿宋" w:cs="仿宋"/>
          <w:sz w:val="32"/>
          <w:szCs w:val="32"/>
        </w:rPr>
        <w:t>重点开展建筑节能与绿色建筑新材料、新设备、新工艺、新技术推广认证工作。进一步完善适合我省的建设技术标准体系。重点推广使用智能、高效的技术设备与系统，大力推广节能、节材、节水及环保型技术和产品。加快推广使用绿色建材，继续推进绿色建材评价标识工作。重点扶持一批建设科技龙头企业，命名一批建设领域省级研究中心，鼓励企业编制工法、图集和企业标准，促进企业产业升级。</w:t>
      </w:r>
    </w:p>
    <w:p w14:paraId="4639F78E">
      <w:pPr>
        <w:suppressAutoHyphens/>
        <w:bidi w:val="0"/>
        <w:snapToGrid w:val="0"/>
        <w:spacing w:line="360" w:lineRule="auto"/>
        <w:ind w:firstLine="640"/>
        <w:rPr>
          <w:rFonts w:ascii="仿宋" w:hAnsi="仿宋" w:eastAsia="仿宋" w:cs="仿宋"/>
          <w:bCs/>
          <w:color w:val="000000"/>
          <w:sz w:val="32"/>
          <w:szCs w:val="32"/>
        </w:rPr>
      </w:pPr>
      <w:r>
        <w:rPr>
          <w:rFonts w:hint="eastAsia" w:ascii="仿宋" w:hAnsi="仿宋" w:eastAsia="仿宋" w:cs="仿宋"/>
          <w:b/>
          <w:sz w:val="32"/>
          <w:szCs w:val="32"/>
        </w:rPr>
        <w:t>6.推广应用BIM技术。</w:t>
      </w:r>
      <w:r>
        <w:rPr>
          <w:rFonts w:hint="eastAsia" w:ascii="仿宋" w:hAnsi="仿宋" w:eastAsia="仿宋" w:cs="仿宋"/>
          <w:sz w:val="32"/>
          <w:szCs w:val="32"/>
        </w:rPr>
        <w:t>充分发挥省BIM联盟的作用，</w:t>
      </w:r>
      <w:r>
        <w:rPr>
          <w:rFonts w:hint="eastAsia" w:ascii="仿宋" w:hAnsi="仿宋" w:eastAsia="仿宋" w:cs="仿宋"/>
          <w:color w:val="000000"/>
          <w:kern w:val="0"/>
          <w:sz w:val="32"/>
          <w:szCs w:val="32"/>
        </w:rPr>
        <w:t>形成我省BIM技术标准体系。</w:t>
      </w:r>
      <w:r>
        <w:rPr>
          <w:rFonts w:hint="eastAsia" w:ascii="仿宋" w:hAnsi="仿宋" w:eastAsia="仿宋" w:cs="仿宋"/>
          <w:sz w:val="32"/>
          <w:szCs w:val="32"/>
        </w:rPr>
        <w:t>建立全省统一的BIM构件资源库，建设全省BIM技术应用的数据中心，</w:t>
      </w:r>
      <w:r>
        <w:rPr>
          <w:rFonts w:hint="eastAsia" w:ascii="仿宋" w:hAnsi="仿宋" w:eastAsia="仿宋" w:cs="仿宋"/>
          <w:color w:val="000000"/>
          <w:kern w:val="0"/>
          <w:sz w:val="32"/>
          <w:szCs w:val="32"/>
        </w:rPr>
        <w:t>完成省级BIM云平台的开发并投入应用。各市重点选择大型公共建筑、大型市政基础设施工程等开展BIM应用。</w:t>
      </w:r>
      <w:r>
        <w:rPr>
          <w:rFonts w:hint="eastAsia" w:ascii="仿宋" w:hAnsi="仿宋" w:eastAsia="仿宋" w:cs="仿宋"/>
          <w:sz w:val="32"/>
          <w:szCs w:val="32"/>
        </w:rPr>
        <w:t>到2025年底，</w:t>
      </w:r>
      <w:r>
        <w:rPr>
          <w:rFonts w:hint="eastAsia" w:ascii="仿宋" w:hAnsi="仿宋" w:eastAsia="仿宋" w:cs="仿宋"/>
          <w:bCs/>
          <w:color w:val="000000"/>
          <w:sz w:val="32"/>
          <w:szCs w:val="32"/>
        </w:rPr>
        <w:t>全面提高我省企业BIM、大数据、智能化等信息技术集成应用能力，建成面向多参与方、多阶段的BIM数据管理云平台。</w:t>
      </w:r>
    </w:p>
    <w:p w14:paraId="2E0FA088">
      <w:pPr>
        <w:suppressAutoHyphens/>
        <w:bidi w:val="0"/>
        <w:snapToGrid w:val="0"/>
        <w:spacing w:line="360" w:lineRule="auto"/>
        <w:ind w:firstLine="645"/>
        <w:contextualSpacing/>
        <w:rPr>
          <w:rFonts w:ascii="楷体" w:hAnsi="楷体" w:eastAsia="楷体" w:cs="楷体"/>
          <w:b/>
          <w:color w:val="000000"/>
          <w:kern w:val="0"/>
          <w:sz w:val="32"/>
          <w:szCs w:val="32"/>
        </w:rPr>
      </w:pPr>
      <w:r>
        <w:rPr>
          <w:rFonts w:hint="eastAsia" w:ascii="楷体" w:hAnsi="楷体" w:eastAsia="楷体" w:cs="楷体"/>
          <w:b/>
          <w:color w:val="000000"/>
          <w:kern w:val="0"/>
          <w:sz w:val="32"/>
          <w:szCs w:val="32"/>
        </w:rPr>
        <w:t>（三）扶持建筑业企业发展壮大</w:t>
      </w:r>
    </w:p>
    <w:p w14:paraId="397DF69C">
      <w:pPr>
        <w:suppressAutoHyphens/>
        <w:bidi w:val="0"/>
        <w:snapToGrid w:val="0"/>
        <w:spacing w:line="360" w:lineRule="auto"/>
        <w:ind w:firstLine="645"/>
        <w:contextualSpacing/>
        <w:jc w:val="left"/>
        <w:rPr>
          <w:rFonts w:ascii="仿宋" w:hAnsi="仿宋" w:eastAsia="仿宋" w:cs="Arial"/>
          <w:color w:val="000000"/>
          <w:kern w:val="0"/>
          <w:sz w:val="32"/>
          <w:szCs w:val="32"/>
        </w:rPr>
      </w:pPr>
      <w:r>
        <w:rPr>
          <w:rFonts w:hint="eastAsia" w:ascii="仿宋" w:hAnsi="仿宋" w:eastAsia="仿宋" w:cs="Arial"/>
          <w:b/>
          <w:color w:val="000000"/>
          <w:kern w:val="0"/>
          <w:sz w:val="32"/>
          <w:szCs w:val="32"/>
        </w:rPr>
        <w:t>1.优化企业资质结构。</w:t>
      </w:r>
      <w:r>
        <w:rPr>
          <w:rFonts w:hint="eastAsia" w:ascii="仿宋" w:hAnsi="仿宋" w:eastAsia="仿宋" w:cs="Arial"/>
          <w:color w:val="000000"/>
          <w:kern w:val="0"/>
          <w:sz w:val="32"/>
          <w:szCs w:val="32"/>
        </w:rPr>
        <w:t>引导施工总承包企业扩大承包范围，增项交通、水利、核电、港口、通信等较薄弱的资质；支持专业承包企业不断提高资质等级，向专、精、特、新方向发展，培养高、精、尖队伍，不断提高企业的竞争力。</w:t>
      </w:r>
    </w:p>
    <w:p w14:paraId="288CEC92">
      <w:pPr>
        <w:suppressAutoHyphens/>
        <w:bidi w:val="0"/>
        <w:snapToGrid w:val="0"/>
        <w:spacing w:line="360" w:lineRule="auto"/>
        <w:ind w:firstLine="645"/>
        <w:contextualSpacing/>
        <w:jc w:val="left"/>
        <w:rPr>
          <w:rFonts w:ascii="仿宋" w:hAnsi="仿宋" w:eastAsia="仿宋" w:cs="Arial"/>
          <w:color w:val="000000"/>
          <w:kern w:val="0"/>
          <w:sz w:val="32"/>
          <w:szCs w:val="32"/>
        </w:rPr>
      </w:pPr>
      <w:r>
        <w:rPr>
          <w:rFonts w:hint="eastAsia" w:ascii="仿宋" w:hAnsi="仿宋" w:eastAsia="仿宋" w:cs="Arial"/>
          <w:b/>
          <w:color w:val="000000"/>
          <w:kern w:val="0"/>
          <w:sz w:val="32"/>
          <w:szCs w:val="32"/>
        </w:rPr>
        <w:t>2.鼓励外埠企业本地化经营。</w:t>
      </w:r>
      <w:r>
        <w:rPr>
          <w:rFonts w:hint="eastAsia" w:ascii="仿宋" w:hAnsi="仿宋" w:eastAsia="仿宋" w:cs="Arial"/>
          <w:color w:val="000000"/>
          <w:kern w:val="0"/>
          <w:sz w:val="32"/>
          <w:szCs w:val="32"/>
        </w:rPr>
        <w:t>积极引进中央企业、大型外埠企业到辽宁落户，为外埠特级建筑业企业在辽设立的子公司颁发与总公司资质类别相应的二级资质。</w:t>
      </w:r>
    </w:p>
    <w:p w14:paraId="1E117508">
      <w:pPr>
        <w:suppressAutoHyphens/>
        <w:bidi w:val="0"/>
        <w:snapToGrid w:val="0"/>
        <w:spacing w:line="360" w:lineRule="auto"/>
        <w:ind w:firstLine="645"/>
        <w:contextualSpacing/>
        <w:jc w:val="left"/>
        <w:rPr>
          <w:rFonts w:ascii="仿宋" w:hAnsi="仿宋" w:eastAsia="仿宋" w:cs="Arial"/>
          <w:color w:val="000000"/>
          <w:kern w:val="0"/>
          <w:sz w:val="32"/>
          <w:szCs w:val="32"/>
        </w:rPr>
      </w:pPr>
      <w:r>
        <w:rPr>
          <w:rFonts w:hint="eastAsia" w:ascii="仿宋" w:hAnsi="仿宋" w:eastAsia="仿宋" w:cs="Arial"/>
          <w:b/>
          <w:color w:val="000000"/>
          <w:kern w:val="0"/>
          <w:sz w:val="32"/>
          <w:szCs w:val="32"/>
          <w:lang w:val="en-US" w:eastAsia="zh-CN"/>
        </w:rPr>
        <w:t>3</w:t>
      </w:r>
      <w:r>
        <w:rPr>
          <w:rFonts w:hint="eastAsia" w:ascii="仿宋" w:hAnsi="仿宋" w:eastAsia="仿宋" w:cs="Arial"/>
          <w:b/>
          <w:color w:val="000000"/>
          <w:kern w:val="0"/>
          <w:sz w:val="32"/>
          <w:szCs w:val="32"/>
        </w:rPr>
        <w:t>.培育旗舰企业。</w:t>
      </w:r>
      <w:r>
        <w:rPr>
          <w:rFonts w:hint="eastAsia" w:ascii="仿宋" w:hAnsi="仿宋" w:eastAsia="仿宋" w:cs="Arial"/>
          <w:color w:val="000000"/>
          <w:kern w:val="0"/>
          <w:sz w:val="32"/>
          <w:szCs w:val="32"/>
        </w:rPr>
        <w:t>引导和鼓励省内骨干建筑业企业组建大型企业集团，形成辽宁建筑业发展新优势；通过与大型房地产企业战略合作，拓展产业链条，增强融资能力；通过与央企、外埠大型企业组成战略联盟，共同开拓市场，壮大自身实力。</w:t>
      </w:r>
    </w:p>
    <w:p w14:paraId="005CD0A5">
      <w:pPr>
        <w:suppressAutoHyphens/>
        <w:bidi w:val="0"/>
        <w:snapToGrid w:val="0"/>
        <w:spacing w:line="360" w:lineRule="auto"/>
        <w:ind w:firstLine="645"/>
        <w:contextualSpacing/>
        <w:jc w:val="left"/>
        <w:rPr>
          <w:rFonts w:ascii="仿宋" w:hAnsi="仿宋" w:eastAsia="仿宋" w:cs="Arial"/>
          <w:color w:val="000000"/>
          <w:kern w:val="0"/>
          <w:sz w:val="32"/>
          <w:szCs w:val="32"/>
        </w:rPr>
      </w:pPr>
      <w:r>
        <w:rPr>
          <w:rFonts w:hint="eastAsia" w:ascii="仿宋" w:hAnsi="仿宋" w:eastAsia="仿宋" w:cs="仿宋"/>
          <w:b/>
          <w:sz w:val="32"/>
          <w:szCs w:val="32"/>
          <w:lang w:val="en-US" w:eastAsia="zh-CN"/>
        </w:rPr>
        <w:t>4</w:t>
      </w:r>
      <w:r>
        <w:rPr>
          <w:rFonts w:hint="eastAsia" w:ascii="仿宋" w:hAnsi="仿宋" w:eastAsia="仿宋" w:cs="仿宋"/>
          <w:b/>
          <w:sz w:val="32"/>
          <w:szCs w:val="32"/>
        </w:rPr>
        <w:t>.申请放宽资质业务范围试点。</w:t>
      </w:r>
      <w:r>
        <w:rPr>
          <w:rFonts w:hint="eastAsia" w:ascii="仿宋" w:hAnsi="仿宋" w:eastAsia="仿宋" w:cs="仿宋"/>
          <w:sz w:val="32"/>
          <w:szCs w:val="32"/>
        </w:rPr>
        <w:t>向住建部申请将辽宁省列为放宽资质承揽范围试点省份，对信用良好、具有相关专业技术能力、能够提供足额担保的重点扶持企业，在其资质类别内放宽承揽业务范围限制.</w:t>
      </w:r>
    </w:p>
    <w:p w14:paraId="49592A4C">
      <w:pPr>
        <w:suppressAutoHyphens/>
        <w:bidi w:val="0"/>
        <w:snapToGrid w:val="0"/>
        <w:spacing w:line="360" w:lineRule="auto"/>
        <w:ind w:firstLine="645"/>
        <w:contextualSpacing/>
        <w:jc w:val="left"/>
        <w:rPr>
          <w:rFonts w:ascii="仿宋" w:hAnsi="仿宋" w:eastAsia="仿宋" w:cs="Arial"/>
          <w:color w:val="000000"/>
          <w:kern w:val="0"/>
          <w:sz w:val="32"/>
          <w:szCs w:val="32"/>
        </w:rPr>
      </w:pPr>
      <w:r>
        <w:rPr>
          <w:rFonts w:hint="eastAsia" w:ascii="仿宋" w:hAnsi="仿宋" w:eastAsia="仿宋" w:cs="Arial"/>
          <w:b/>
          <w:color w:val="000000"/>
          <w:kern w:val="0"/>
          <w:sz w:val="32"/>
          <w:szCs w:val="32"/>
          <w:lang w:val="en-US" w:eastAsia="zh-CN"/>
        </w:rPr>
        <w:t>5</w:t>
      </w:r>
      <w:r>
        <w:rPr>
          <w:rFonts w:hint="eastAsia" w:ascii="仿宋" w:hAnsi="仿宋" w:eastAsia="仿宋" w:cs="Arial"/>
          <w:b/>
          <w:color w:val="000000"/>
          <w:kern w:val="0"/>
          <w:sz w:val="32"/>
          <w:szCs w:val="32"/>
        </w:rPr>
        <w:t>.鼓励联合体投标参与重点项目建设。</w:t>
      </w:r>
      <w:r>
        <w:rPr>
          <w:rFonts w:hint="eastAsia" w:ascii="仿宋" w:hAnsi="仿宋" w:eastAsia="仿宋" w:cs="Arial"/>
          <w:color w:val="000000"/>
          <w:kern w:val="0"/>
          <w:sz w:val="32"/>
          <w:szCs w:val="32"/>
        </w:rPr>
        <w:t>省内具备条件的重大项目，特别是轨道交通等大型基础设施项目要选取1-2个标段作为试点，面向重点扶持企业与央企、国企组成的联合体招标。</w:t>
      </w:r>
    </w:p>
    <w:p w14:paraId="2911EA74">
      <w:pPr>
        <w:suppressAutoHyphens/>
        <w:bidi w:val="0"/>
        <w:snapToGrid w:val="0"/>
        <w:spacing w:line="360" w:lineRule="auto"/>
        <w:ind w:firstLine="645"/>
        <w:contextualSpacing/>
        <w:jc w:val="left"/>
        <w:rPr>
          <w:rFonts w:ascii="仿宋" w:hAnsi="仿宋" w:eastAsia="仿宋" w:cs="Arial"/>
          <w:color w:val="000000"/>
          <w:kern w:val="0"/>
          <w:sz w:val="32"/>
          <w:szCs w:val="32"/>
        </w:rPr>
      </w:pPr>
      <w:r>
        <w:rPr>
          <w:rFonts w:hint="eastAsia" w:ascii="仿宋" w:hAnsi="仿宋" w:eastAsia="仿宋" w:cs="Arial"/>
          <w:b/>
          <w:color w:val="000000"/>
          <w:kern w:val="0"/>
          <w:sz w:val="32"/>
          <w:szCs w:val="32"/>
          <w:lang w:val="en-US" w:eastAsia="zh-CN"/>
        </w:rPr>
        <w:t>6</w:t>
      </w:r>
      <w:r>
        <w:rPr>
          <w:rFonts w:hint="eastAsia" w:ascii="仿宋" w:hAnsi="仿宋" w:eastAsia="仿宋" w:cs="Arial"/>
          <w:b/>
          <w:color w:val="000000"/>
          <w:kern w:val="0"/>
          <w:sz w:val="32"/>
          <w:szCs w:val="32"/>
        </w:rPr>
        <w:t>.积极支持企业开拓省外、国外市场。</w:t>
      </w:r>
      <w:r>
        <w:rPr>
          <w:rFonts w:hint="eastAsia" w:ascii="仿宋" w:hAnsi="仿宋" w:eastAsia="仿宋" w:cs="Arial"/>
          <w:color w:val="000000"/>
          <w:kern w:val="0"/>
          <w:sz w:val="32"/>
          <w:szCs w:val="32"/>
        </w:rPr>
        <w:t>为企业“走出去”搭建平台，适时组织企业推介活动。引导企业参与“一带一路”以及各类功能区、国家级新区、城镇化试点地区建设，提高外埠市场份额。</w:t>
      </w:r>
    </w:p>
    <w:p w14:paraId="0D2AE3BA">
      <w:pPr>
        <w:suppressAutoHyphens/>
        <w:bidi w:val="0"/>
        <w:snapToGrid w:val="0"/>
        <w:spacing w:line="360" w:lineRule="auto"/>
        <w:ind w:firstLine="645"/>
        <w:contextualSpacing/>
        <w:jc w:val="left"/>
        <w:rPr>
          <w:rFonts w:ascii="仿宋" w:hAnsi="仿宋" w:eastAsia="仿宋" w:cs="Arial"/>
          <w:b/>
          <w:color w:val="000000"/>
          <w:kern w:val="0"/>
          <w:sz w:val="32"/>
          <w:szCs w:val="32"/>
        </w:rPr>
      </w:pPr>
      <w:r>
        <w:rPr>
          <w:rFonts w:hint="eastAsia" w:ascii="仿宋" w:hAnsi="仿宋" w:eastAsia="仿宋" w:cs="Arial"/>
          <w:b/>
          <w:color w:val="000000"/>
          <w:kern w:val="0"/>
          <w:sz w:val="32"/>
          <w:szCs w:val="32"/>
        </w:rPr>
        <w:t>（四）加快建筑相关服务业发展</w:t>
      </w:r>
    </w:p>
    <w:p w14:paraId="3DA1C8C9">
      <w:pPr>
        <w:suppressAutoHyphens/>
        <w:bidi w:val="0"/>
        <w:snapToGrid w:val="0"/>
        <w:spacing w:line="360" w:lineRule="auto"/>
        <w:ind w:firstLine="645"/>
        <w:contextualSpacing/>
        <w:jc w:val="left"/>
        <w:rPr>
          <w:rFonts w:ascii="仿宋" w:hAnsi="仿宋" w:eastAsia="仿宋" w:cs="Arial"/>
          <w:color w:val="000000"/>
          <w:kern w:val="0"/>
          <w:sz w:val="32"/>
          <w:szCs w:val="32"/>
        </w:rPr>
      </w:pPr>
      <w:r>
        <w:rPr>
          <w:rFonts w:hint="eastAsia" w:ascii="仿宋" w:hAnsi="仿宋" w:eastAsia="仿宋" w:cs="Arial"/>
          <w:b/>
          <w:color w:val="000000"/>
          <w:kern w:val="0"/>
          <w:sz w:val="32"/>
          <w:szCs w:val="32"/>
        </w:rPr>
        <w:t>1.加强招投标行业监管。</w:t>
      </w:r>
      <w:r>
        <w:rPr>
          <w:rFonts w:hint="eastAsia" w:ascii="仿宋" w:hAnsi="仿宋" w:eastAsia="仿宋" w:cs="Arial"/>
          <w:color w:val="000000"/>
          <w:kern w:val="0"/>
          <w:sz w:val="32"/>
          <w:szCs w:val="32"/>
        </w:rPr>
        <w:t>加快互联网与政府公共服务体系的深度融合，推动招投标全流程的电子化。推动招标投标行政监督从事前审批、分业监督，向事中事后、动态协同方式转变，提高行政监督的针对性、有效性和规范性。推进行政监督平台建设，建立完善对招标采购全过程实时在线监管等功能。适应“互联网+”趋势，运用大数据理念、技术和资源，依法高效采集、有效整合和充分运用招标采购信息数据，为行政监督部门和市场主体提供大数据服务。</w:t>
      </w:r>
    </w:p>
    <w:p w14:paraId="1A9A49A7">
      <w:pPr>
        <w:suppressAutoHyphens/>
        <w:bidi w:val="0"/>
        <w:snapToGrid w:val="0"/>
        <w:spacing w:line="360" w:lineRule="auto"/>
        <w:ind w:firstLine="640"/>
        <w:rPr>
          <w:rFonts w:ascii="仿宋" w:hAnsi="仿宋" w:eastAsia="仿宋" w:cs="仿宋"/>
          <w:bCs/>
          <w:color w:val="000000"/>
          <w:sz w:val="32"/>
          <w:szCs w:val="32"/>
        </w:rPr>
      </w:pPr>
      <w:r>
        <w:rPr>
          <w:rFonts w:hint="eastAsia" w:ascii="仿宋" w:hAnsi="仿宋" w:eastAsia="仿宋" w:cs="Arial"/>
          <w:b/>
          <w:color w:val="000000"/>
          <w:kern w:val="0"/>
          <w:sz w:val="32"/>
          <w:szCs w:val="32"/>
        </w:rPr>
        <w:t>2.推动勘察设计行业发展。</w:t>
      </w:r>
      <w:r>
        <w:rPr>
          <w:rFonts w:hint="eastAsia" w:ascii="仿宋" w:hAnsi="仿宋" w:eastAsia="仿宋" w:cs="仿宋"/>
          <w:bCs/>
          <w:color w:val="000000"/>
          <w:sz w:val="32"/>
          <w:szCs w:val="32"/>
        </w:rPr>
        <w:t>推动大企业实施以设计为龙头的工程总承包，引导中小企业向专业化、特色化转型，鼓励个人领衔组建专业设计事务所和建筑方案创意机构。探索设计保险制度，完善施工图审查制度，严格超限高层建筑工程抗震设防审查。到2020年底，</w:t>
      </w:r>
      <w:r>
        <w:rPr>
          <w:rFonts w:hint="eastAsia" w:ascii="仿宋" w:hAnsi="仿宋" w:eastAsia="仿宋" w:cs="Times New Roman"/>
          <w:sz w:val="32"/>
          <w:szCs w:val="32"/>
        </w:rPr>
        <w:t>全省勘察设计年产值要在“十二五”末的基础上年均增长5%以上。到2025年底，产业结构和市场环境进一步优化，信息化技术深度应用，产值年均增长6%以上。</w:t>
      </w:r>
    </w:p>
    <w:p w14:paraId="793BEEA5">
      <w:pPr>
        <w:suppressAutoHyphens/>
        <w:bidi w:val="0"/>
        <w:snapToGrid w:val="0"/>
        <w:spacing w:line="360" w:lineRule="auto"/>
        <w:ind w:firstLine="645"/>
        <w:contextualSpacing/>
        <w:jc w:val="left"/>
        <w:rPr>
          <w:rFonts w:ascii="仿宋" w:hAnsi="仿宋" w:eastAsia="仿宋" w:cs="Arial"/>
          <w:color w:val="000000"/>
          <w:kern w:val="0"/>
          <w:sz w:val="32"/>
          <w:szCs w:val="32"/>
        </w:rPr>
      </w:pPr>
      <w:r>
        <w:rPr>
          <w:rFonts w:hint="eastAsia" w:ascii="仿宋" w:hAnsi="仿宋" w:eastAsia="仿宋" w:cs="Arial"/>
          <w:b/>
          <w:color w:val="000000"/>
          <w:kern w:val="0"/>
          <w:sz w:val="32"/>
          <w:szCs w:val="32"/>
        </w:rPr>
        <w:t>3.有效发挥工程监理作用。</w:t>
      </w:r>
      <w:r>
        <w:rPr>
          <w:rFonts w:hint="eastAsia" w:ascii="仿宋" w:hAnsi="仿宋" w:eastAsia="仿宋" w:cs="Arial"/>
          <w:color w:val="000000"/>
          <w:kern w:val="0"/>
          <w:sz w:val="32"/>
          <w:szCs w:val="32"/>
        </w:rPr>
        <w:t>鼓励监理企业向“上下游”拓展服务领域，提供项目咨询、招标代理、造价咨询、项目管理、现场监督等多元化的“菜单式”咨询服务。鼓励监理企业积极探索政府和社会资本合作（PPP）等新型融资方式下的咨询服务内容和模式。引导监理企业加大科技投入，采用先进检测工具和信息化手段，创新工程监理技术、管理、组织和流程，提升工程监理服务能力和水平。鼓励大型监理企业采取跨行业、跨地域的联合经营、并购重组等方式发展全过程工程咨询。</w:t>
      </w:r>
    </w:p>
    <w:p w14:paraId="69263711">
      <w:pPr>
        <w:suppressAutoHyphens/>
        <w:bidi w:val="0"/>
        <w:snapToGrid w:val="0"/>
        <w:spacing w:line="360" w:lineRule="auto"/>
        <w:ind w:firstLine="645"/>
        <w:contextualSpacing/>
        <w:jc w:val="left"/>
        <w:rPr>
          <w:rFonts w:ascii="仿宋" w:hAnsi="仿宋" w:eastAsia="仿宋" w:cs="Arial"/>
          <w:color w:val="000000"/>
          <w:kern w:val="0"/>
          <w:sz w:val="32"/>
          <w:szCs w:val="32"/>
        </w:rPr>
      </w:pPr>
      <w:r>
        <w:rPr>
          <w:rFonts w:hint="eastAsia" w:ascii="仿宋" w:hAnsi="仿宋" w:eastAsia="仿宋" w:cs="Arial"/>
          <w:b/>
          <w:color w:val="000000"/>
          <w:kern w:val="0"/>
          <w:sz w:val="32"/>
          <w:szCs w:val="32"/>
        </w:rPr>
        <w:t>4.完善工程造价管理。</w:t>
      </w:r>
      <w:r>
        <w:rPr>
          <w:rFonts w:hint="eastAsia" w:ascii="仿宋" w:hAnsi="仿宋" w:eastAsia="仿宋" w:cs="Arial"/>
          <w:color w:val="000000"/>
          <w:kern w:val="0"/>
          <w:sz w:val="32"/>
          <w:szCs w:val="32"/>
        </w:rPr>
        <w:t>进一步完善工程造价行业相关管理制度，适时开展造价行业立法工作。建立完善的工程计价依据体系，编制完成我省装配式建筑计价定额、绿色建筑计价定额、城市地下综合管廊计价指标以及海绵城市等相关计价定额。注重技术应用与工程造价管理相结合，加强工程造价软件行业的规范引导，开展工程造价计价软件的评估工作。适时建立我省工程造价数据及价格信息监测系统，实现工程造价数据积累。大力支持工程造价咨询企业跨行业、跨地区整合，促进工程造价咨询企业做大做强，培育进行工程项目全过程管理的综合性工程造价咨询企业。以“一带一路”为导向，培育一批具有国际先进水平的工程造价咨询企业，鼓励企业积极探索国际合作，提高国际化经营能力。</w:t>
      </w:r>
    </w:p>
    <w:p w14:paraId="59CB62A0">
      <w:pPr>
        <w:suppressAutoHyphens/>
        <w:bidi w:val="0"/>
        <w:snapToGrid w:val="0"/>
        <w:spacing w:line="360" w:lineRule="auto"/>
        <w:ind w:firstLine="645"/>
        <w:contextualSpacing/>
        <w:jc w:val="left"/>
        <w:rPr>
          <w:rFonts w:ascii="仿宋" w:hAnsi="仿宋" w:eastAsia="仿宋" w:cs="Arial"/>
          <w:color w:val="000000"/>
          <w:kern w:val="0"/>
          <w:sz w:val="32"/>
          <w:szCs w:val="32"/>
        </w:rPr>
      </w:pPr>
      <w:r>
        <w:rPr>
          <w:rFonts w:hint="eastAsia" w:ascii="仿宋" w:hAnsi="仿宋" w:eastAsia="仿宋" w:cs="Arial"/>
          <w:b/>
          <w:color w:val="000000"/>
          <w:kern w:val="0"/>
          <w:sz w:val="32"/>
          <w:szCs w:val="32"/>
        </w:rPr>
        <w:t>5.促进行业全产业链发展。</w:t>
      </w:r>
      <w:r>
        <w:rPr>
          <w:rFonts w:hint="eastAsia" w:ascii="仿宋" w:hAnsi="仿宋" w:eastAsia="仿宋" w:cs="Arial"/>
          <w:color w:val="000000"/>
          <w:kern w:val="0"/>
          <w:sz w:val="32"/>
          <w:szCs w:val="32"/>
        </w:rPr>
        <w:t>以提升建筑业发展质量和效益为核心，推动投资、开发、规划、设计、施工、生产、采购、材料、建筑服务以及更新维护等全产业链发展，梳理产业链的各个环节，畅通上下游环节输送产品、服务和信息反馈渠道，促进产业链资源的整合、串联与合作。推动产业链转型升级，协调相关部门为企业发展提供供需对接和政策、技术支撑，培育产业价值链和生态圈。推进新业务模式发展，鼓励、支持企业向产业链上下游两端延伸，向细分行业扩张。</w:t>
      </w:r>
    </w:p>
    <w:p w14:paraId="079194AC">
      <w:pPr>
        <w:suppressAutoHyphens/>
        <w:bidi w:val="0"/>
        <w:snapToGrid w:val="0"/>
        <w:spacing w:line="360" w:lineRule="auto"/>
        <w:contextualSpacing/>
        <w:jc w:val="left"/>
        <w:rPr>
          <w:rFonts w:ascii="黑体" w:hAnsi="黑体" w:eastAsia="黑体" w:cs="Arial"/>
          <w:color w:val="000000"/>
          <w:kern w:val="0"/>
          <w:sz w:val="32"/>
          <w:szCs w:val="32"/>
        </w:rPr>
      </w:pPr>
      <w:r>
        <w:rPr>
          <w:rFonts w:ascii="黑体" w:hAnsi="黑体" w:eastAsia="黑体" w:cs="Arial"/>
          <w:color w:val="000000"/>
          <w:kern w:val="0"/>
          <w:sz w:val="32"/>
          <w:szCs w:val="32"/>
        </w:rPr>
        <w:t>　　</w:t>
      </w:r>
      <w:r>
        <w:rPr>
          <w:rFonts w:hint="eastAsia" w:ascii="黑体" w:hAnsi="黑体" w:eastAsia="黑体" w:cs="Arial"/>
          <w:color w:val="000000"/>
          <w:kern w:val="0"/>
          <w:sz w:val="32"/>
          <w:szCs w:val="32"/>
        </w:rPr>
        <w:t>四</w:t>
      </w:r>
      <w:r>
        <w:rPr>
          <w:rFonts w:ascii="黑体" w:hAnsi="黑体" w:eastAsia="黑体" w:cs="Arial"/>
          <w:color w:val="000000"/>
          <w:kern w:val="0"/>
          <w:sz w:val="32"/>
          <w:szCs w:val="32"/>
        </w:rPr>
        <w:t>、保障</w:t>
      </w:r>
      <w:r>
        <w:rPr>
          <w:rFonts w:hint="eastAsia" w:ascii="黑体" w:hAnsi="黑体" w:eastAsia="黑体" w:cs="Arial"/>
          <w:color w:val="000000"/>
          <w:kern w:val="0"/>
          <w:sz w:val="32"/>
          <w:szCs w:val="32"/>
        </w:rPr>
        <w:t>措施</w:t>
      </w:r>
    </w:p>
    <w:p w14:paraId="0F846791">
      <w:pPr>
        <w:suppressAutoHyphens/>
        <w:bidi w:val="0"/>
        <w:snapToGrid w:val="0"/>
        <w:spacing w:line="360" w:lineRule="auto"/>
        <w:ind w:firstLine="630"/>
        <w:contextualSpacing/>
        <w:jc w:val="left"/>
        <w:rPr>
          <w:rFonts w:ascii="仿宋" w:hAnsi="仿宋" w:eastAsia="仿宋" w:cs="Arial"/>
          <w:color w:val="000000"/>
          <w:kern w:val="0"/>
          <w:sz w:val="32"/>
          <w:szCs w:val="32"/>
        </w:rPr>
      </w:pPr>
      <w:r>
        <w:rPr>
          <w:rFonts w:hint="eastAsia" w:ascii="仿宋" w:hAnsi="仿宋" w:eastAsia="仿宋" w:cs="Arial"/>
          <w:b/>
          <w:color w:val="000000"/>
          <w:kern w:val="0"/>
          <w:sz w:val="32"/>
          <w:szCs w:val="32"/>
        </w:rPr>
        <w:t>1.</w:t>
      </w:r>
      <w:r>
        <w:rPr>
          <w:rFonts w:ascii="仿宋" w:hAnsi="仿宋" w:eastAsia="仿宋" w:cs="Arial"/>
          <w:b/>
          <w:color w:val="000000"/>
          <w:kern w:val="0"/>
          <w:sz w:val="32"/>
          <w:szCs w:val="32"/>
        </w:rPr>
        <w:t>加强组织领导。</w:t>
      </w:r>
      <w:r>
        <w:rPr>
          <w:rFonts w:hint="eastAsia" w:ascii="仿宋" w:hAnsi="仿宋" w:eastAsia="仿宋" w:cs="Arial"/>
          <w:color w:val="000000"/>
          <w:kern w:val="0"/>
          <w:sz w:val="32"/>
          <w:szCs w:val="32"/>
        </w:rPr>
        <w:t>落实各市主体责任，指导、督促各市建筑主管部门加强组织、明确责任、健全机制、细化考核，把推进建筑业供给侧结构性改革列入重要议事日程，认真研究解决影响建筑业发展的重大问题。</w:t>
      </w:r>
    </w:p>
    <w:p w14:paraId="45570019">
      <w:pPr>
        <w:suppressAutoHyphens/>
        <w:bidi w:val="0"/>
        <w:snapToGrid w:val="0"/>
        <w:spacing w:line="360" w:lineRule="auto"/>
        <w:ind w:firstLine="630"/>
        <w:contextualSpacing/>
        <w:jc w:val="left"/>
        <w:rPr>
          <w:rFonts w:ascii="仿宋" w:hAnsi="仿宋" w:eastAsia="仿宋" w:cs="Arial"/>
          <w:color w:val="000000"/>
          <w:kern w:val="0"/>
          <w:sz w:val="32"/>
          <w:szCs w:val="32"/>
        </w:rPr>
      </w:pPr>
      <w:r>
        <w:rPr>
          <w:rFonts w:hint="eastAsia" w:ascii="仿宋" w:hAnsi="仿宋" w:eastAsia="仿宋" w:cs="Arial"/>
          <w:b/>
          <w:color w:val="000000"/>
          <w:kern w:val="0"/>
          <w:sz w:val="32"/>
          <w:szCs w:val="32"/>
        </w:rPr>
        <w:t>2.强化督促检查。</w:t>
      </w:r>
      <w:r>
        <w:rPr>
          <w:rFonts w:hint="eastAsia" w:ascii="仿宋" w:hAnsi="仿宋" w:eastAsia="仿宋" w:cs="Arial"/>
          <w:color w:val="000000"/>
          <w:kern w:val="0"/>
          <w:sz w:val="32"/>
          <w:szCs w:val="32"/>
        </w:rPr>
        <w:t>不断完善事前规范、事中指导、事后监督的新机制，推动建筑业供给侧结构性改革工作稳步推进。加强对全省建筑业工作情况的调度，做好行业发展统计监测，及时通报各市建筑业发展情况。</w:t>
      </w:r>
    </w:p>
    <w:p w14:paraId="4575F330">
      <w:pPr>
        <w:suppressAutoHyphens/>
        <w:bidi w:val="0"/>
        <w:snapToGrid w:val="0"/>
        <w:spacing w:line="360" w:lineRule="auto"/>
        <w:ind w:firstLine="630"/>
        <w:contextualSpacing/>
        <w:jc w:val="left"/>
        <w:rPr>
          <w:rFonts w:ascii="仿宋" w:hAnsi="仿宋" w:eastAsia="仿宋" w:cs="Arial"/>
          <w:color w:val="000000"/>
          <w:kern w:val="0"/>
          <w:sz w:val="32"/>
          <w:szCs w:val="32"/>
        </w:rPr>
      </w:pPr>
      <w:r>
        <w:rPr>
          <w:rFonts w:hint="eastAsia" w:ascii="仿宋" w:hAnsi="仿宋" w:eastAsia="仿宋" w:cs="Arial"/>
          <w:b/>
          <w:color w:val="000000"/>
          <w:kern w:val="0"/>
          <w:sz w:val="32"/>
          <w:szCs w:val="32"/>
        </w:rPr>
        <w:t>3.加大政策扶持力度。</w:t>
      </w:r>
      <w:r>
        <w:rPr>
          <w:rFonts w:hint="eastAsia" w:ascii="仿宋" w:hAnsi="仿宋" w:eastAsia="仿宋" w:cs="Arial"/>
          <w:color w:val="000000"/>
          <w:kern w:val="0"/>
          <w:sz w:val="32"/>
          <w:szCs w:val="32"/>
        </w:rPr>
        <w:t>贯彻落实建筑业发展“1+1+4”系列文件，指导各市出台工作方案和相关配套政策，切实把深化放管服改革、推动行业转型升级、扶持企业发展等政策细化分解，落到实处。</w:t>
      </w:r>
    </w:p>
    <w:p w14:paraId="6AF47D64">
      <w:pPr>
        <w:suppressAutoHyphens/>
        <w:bidi w:val="0"/>
        <w:snapToGrid w:val="0"/>
        <w:spacing w:line="360" w:lineRule="auto"/>
        <w:ind w:firstLine="643" w:firstLineChars="200"/>
        <w:rPr>
          <w:rFonts w:ascii="仿宋_GB2312" w:hAnsi="宋体" w:eastAsia="仿宋_GB2312" w:cs="宋体"/>
          <w:bCs/>
          <w:color w:val="000000"/>
          <w:kern w:val="0"/>
          <w:sz w:val="32"/>
          <w:szCs w:val="32"/>
        </w:rPr>
      </w:pPr>
      <w:r>
        <w:rPr>
          <w:rFonts w:hint="eastAsia" w:ascii="仿宋" w:hAnsi="仿宋" w:eastAsia="仿宋" w:cs="Arial"/>
          <w:b/>
          <w:color w:val="000000"/>
          <w:kern w:val="0"/>
          <w:sz w:val="32"/>
          <w:szCs w:val="32"/>
        </w:rPr>
        <w:t>4.</w:t>
      </w:r>
      <w:r>
        <w:rPr>
          <w:rFonts w:hint="eastAsia" w:ascii="仿宋_GB2312" w:hAnsi="宋体" w:eastAsia="仿宋_GB2312" w:cs="宋体"/>
          <w:b/>
          <w:bCs/>
          <w:color w:val="000000"/>
          <w:kern w:val="0"/>
          <w:sz w:val="32"/>
          <w:szCs w:val="32"/>
        </w:rPr>
        <w:t>抓好宣传培训。</w:t>
      </w:r>
      <w:r>
        <w:rPr>
          <w:rFonts w:hint="eastAsia" w:ascii="仿宋_GB2312" w:hAnsi="宋体" w:eastAsia="仿宋_GB2312" w:cs="宋体"/>
          <w:bCs/>
          <w:color w:val="000000"/>
          <w:kern w:val="0"/>
          <w:sz w:val="32"/>
          <w:szCs w:val="32"/>
        </w:rPr>
        <w:t>充分发挥舆论引导作用，深入宣传推进建筑业供给侧结构性改革的重大意义和政策措施，调动社会各方参与建筑业发展的积极性、主动性。开展多层次知识培训，积极开展学术交流、技术研讨等活动，不断探索建筑业发展的新措施、新方法、新技术。</w:t>
      </w:r>
    </w:p>
    <w:p w14:paraId="224301E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宋体" w:eastAsia="仿宋_GB2312" w:cs="宋体"/>
          <w:color w:val="000000"/>
          <w:kern w:val="0"/>
          <w:sz w:val="32"/>
          <w:szCs w:val="32"/>
        </w:rPr>
      </w:pPr>
    </w:p>
    <w:p w14:paraId="41795C8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宋体" w:eastAsia="仿宋_GB2312" w:cs="宋体"/>
          <w:color w:val="000000"/>
          <w:kern w:val="0"/>
          <w:sz w:val="32"/>
          <w:szCs w:val="32"/>
        </w:rPr>
      </w:pPr>
    </w:p>
    <w:p w14:paraId="55A931D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宋体" w:eastAsia="仿宋_GB2312" w:cs="宋体"/>
          <w:color w:val="000000"/>
          <w:kern w:val="0"/>
          <w:sz w:val="32"/>
          <w:szCs w:val="32"/>
        </w:rPr>
      </w:pPr>
    </w:p>
    <w:p w14:paraId="6A23F42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宋体" w:eastAsia="仿宋_GB2312" w:cs="宋体"/>
          <w:color w:val="000000"/>
          <w:kern w:val="0"/>
          <w:sz w:val="32"/>
          <w:szCs w:val="32"/>
        </w:rPr>
      </w:pPr>
    </w:p>
    <w:p w14:paraId="720E0AC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宋体" w:eastAsia="仿宋_GB2312" w:cs="宋体"/>
          <w:color w:val="000000"/>
          <w:kern w:val="0"/>
          <w:sz w:val="32"/>
          <w:szCs w:val="32"/>
        </w:rPr>
      </w:pPr>
    </w:p>
    <w:p w14:paraId="27A35B5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宋体" w:eastAsia="仿宋_GB2312" w:cs="宋体"/>
          <w:color w:val="000000"/>
          <w:kern w:val="0"/>
          <w:sz w:val="32"/>
          <w:szCs w:val="32"/>
        </w:rPr>
      </w:pPr>
    </w:p>
    <w:p w14:paraId="17D7ED7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宋体" w:eastAsia="仿宋_GB2312" w:cs="宋体"/>
          <w:color w:val="000000"/>
          <w:kern w:val="0"/>
          <w:sz w:val="32"/>
          <w:szCs w:val="32"/>
        </w:rPr>
      </w:pPr>
    </w:p>
    <w:p w14:paraId="5B89E65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宋体" w:eastAsia="仿宋_GB2312" w:cs="宋体"/>
          <w:color w:val="000000"/>
          <w:kern w:val="0"/>
          <w:sz w:val="32"/>
          <w:szCs w:val="32"/>
        </w:rPr>
      </w:pPr>
    </w:p>
    <w:p w14:paraId="6100492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宋体" w:eastAsia="仿宋_GB2312" w:cs="宋体"/>
          <w:color w:val="000000"/>
          <w:kern w:val="0"/>
          <w:sz w:val="32"/>
          <w:szCs w:val="32"/>
        </w:rPr>
      </w:pPr>
    </w:p>
    <w:p w14:paraId="3590922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宋体" w:eastAsia="仿宋_GB2312" w:cs="宋体"/>
          <w:color w:val="000000"/>
          <w:kern w:val="0"/>
          <w:sz w:val="32"/>
          <w:szCs w:val="32"/>
        </w:rPr>
      </w:pPr>
    </w:p>
    <w:p w14:paraId="243545E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宋体" w:eastAsia="仿宋_GB2312" w:cs="宋体"/>
          <w:color w:val="000000"/>
          <w:kern w:val="0"/>
          <w:sz w:val="32"/>
          <w:szCs w:val="32"/>
        </w:rPr>
      </w:pPr>
    </w:p>
    <w:p w14:paraId="4174E9B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宋体" w:eastAsia="仿宋_GB2312" w:cs="宋体"/>
          <w:color w:val="000000"/>
          <w:kern w:val="0"/>
          <w:sz w:val="32"/>
          <w:szCs w:val="32"/>
        </w:rPr>
      </w:pPr>
    </w:p>
    <w:p w14:paraId="3D2DB0F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宋体" w:eastAsia="仿宋_GB2312" w:cs="宋体"/>
          <w:color w:val="000000"/>
          <w:kern w:val="0"/>
          <w:sz w:val="32"/>
          <w:szCs w:val="32"/>
        </w:rPr>
      </w:pPr>
    </w:p>
    <w:p w14:paraId="703AF98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宋体" w:eastAsia="仿宋_GB2312" w:cs="宋体"/>
          <w:color w:val="000000"/>
          <w:kern w:val="0"/>
          <w:sz w:val="32"/>
          <w:szCs w:val="32"/>
        </w:rPr>
      </w:pPr>
    </w:p>
    <w:p w14:paraId="5572534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宋体" w:eastAsia="仿宋_GB2312" w:cs="宋体"/>
          <w:color w:val="000000"/>
          <w:kern w:val="0"/>
          <w:sz w:val="32"/>
          <w:szCs w:val="32"/>
        </w:rPr>
      </w:pPr>
    </w:p>
    <w:p w14:paraId="29B7055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宋体" w:eastAsia="仿宋_GB2312" w:cs="宋体"/>
          <w:color w:val="000000"/>
          <w:kern w:val="0"/>
          <w:sz w:val="32"/>
          <w:szCs w:val="32"/>
        </w:rPr>
      </w:pPr>
    </w:p>
    <w:p w14:paraId="2B80A0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bidi w:val="0"/>
        <w:spacing w:before="210" w:beforeAutospacing="0" w:after="210" w:afterAutospacing="0" w:line="360" w:lineRule="atLeast"/>
        <w:ind w:left="0" w:right="0" w:firstLine="0"/>
        <w:jc w:val="center"/>
        <w:rPr>
          <w:rFonts w:hint="eastAsia" w:ascii="宋体" w:hAnsi="宋体" w:eastAsia="宋体" w:cs="宋体"/>
          <w:b/>
          <w:bCs/>
          <w:i w:val="0"/>
          <w:iCs w:val="0"/>
          <w:caps w:val="0"/>
          <w:color w:val="000000"/>
          <w:spacing w:val="0"/>
          <w:sz w:val="44"/>
          <w:szCs w:val="44"/>
          <w:shd w:val="clear" w:color="auto" w:fill="FFFFFF"/>
        </w:rPr>
      </w:pPr>
      <w:r>
        <w:rPr>
          <w:rFonts w:hint="eastAsia" w:ascii="宋体" w:hAnsi="宋体" w:eastAsia="宋体" w:cs="宋体"/>
          <w:b/>
          <w:bCs/>
          <w:i w:val="0"/>
          <w:iCs w:val="0"/>
          <w:caps w:val="0"/>
          <w:color w:val="000000"/>
          <w:spacing w:val="0"/>
          <w:sz w:val="44"/>
          <w:szCs w:val="44"/>
          <w:shd w:val="clear" w:color="auto" w:fill="FFFFFF"/>
        </w:rPr>
        <w:t>辽宁省住房和城乡建设厅辽宁省发展和</w:t>
      </w:r>
      <w:r>
        <w:rPr>
          <w:rFonts w:hint="eastAsia" w:ascii="宋体" w:hAnsi="宋体" w:eastAsia="宋体" w:cs="宋体"/>
          <w:b/>
          <w:bCs/>
          <w:i w:val="0"/>
          <w:iCs w:val="0"/>
          <w:caps w:val="0"/>
          <w:color w:val="000000"/>
          <w:spacing w:val="0"/>
          <w:sz w:val="44"/>
          <w:szCs w:val="44"/>
          <w:shd w:val="clear" w:color="auto" w:fill="FFFFFF"/>
        </w:rPr>
        <w:br w:type="textWrapping"/>
      </w:r>
      <w:r>
        <w:rPr>
          <w:rFonts w:hint="eastAsia" w:ascii="宋体" w:hAnsi="宋体" w:eastAsia="宋体" w:cs="宋体"/>
          <w:b/>
          <w:bCs/>
          <w:i w:val="0"/>
          <w:iCs w:val="0"/>
          <w:caps w:val="0"/>
          <w:color w:val="000000"/>
          <w:spacing w:val="0"/>
          <w:sz w:val="44"/>
          <w:szCs w:val="44"/>
          <w:shd w:val="clear" w:color="auto" w:fill="FFFFFF"/>
        </w:rPr>
        <w:t>改革委员会关于印发《辽宁省房屋建筑</w:t>
      </w:r>
      <w:r>
        <w:rPr>
          <w:rFonts w:hint="eastAsia" w:ascii="宋体" w:hAnsi="宋体" w:eastAsia="宋体" w:cs="宋体"/>
          <w:b/>
          <w:bCs/>
          <w:i w:val="0"/>
          <w:iCs w:val="0"/>
          <w:caps w:val="0"/>
          <w:color w:val="000000"/>
          <w:spacing w:val="0"/>
          <w:sz w:val="44"/>
          <w:szCs w:val="44"/>
          <w:shd w:val="clear" w:color="auto" w:fill="FFFFFF"/>
        </w:rPr>
        <w:br w:type="textWrapping"/>
      </w:r>
      <w:r>
        <w:rPr>
          <w:rFonts w:hint="eastAsia" w:ascii="宋体" w:hAnsi="宋体" w:eastAsia="宋体" w:cs="宋体"/>
          <w:b/>
          <w:bCs/>
          <w:i w:val="0"/>
          <w:iCs w:val="0"/>
          <w:caps w:val="0"/>
          <w:color w:val="000000"/>
          <w:spacing w:val="0"/>
          <w:sz w:val="44"/>
          <w:szCs w:val="44"/>
          <w:shd w:val="clear" w:color="auto" w:fill="FFFFFF"/>
        </w:rPr>
        <w:t>和市政基础设施项目工程总承包</w:t>
      </w:r>
      <w:r>
        <w:rPr>
          <w:rFonts w:hint="eastAsia" w:ascii="宋体" w:hAnsi="宋体" w:eastAsia="宋体" w:cs="宋体"/>
          <w:b/>
          <w:bCs/>
          <w:i w:val="0"/>
          <w:iCs w:val="0"/>
          <w:caps w:val="0"/>
          <w:color w:val="000000"/>
          <w:spacing w:val="0"/>
          <w:sz w:val="44"/>
          <w:szCs w:val="44"/>
          <w:shd w:val="clear" w:color="auto" w:fill="FFFFFF"/>
        </w:rPr>
        <w:br w:type="textWrapping"/>
      </w:r>
      <w:r>
        <w:rPr>
          <w:rFonts w:hint="eastAsia" w:ascii="宋体" w:hAnsi="宋体" w:eastAsia="宋体" w:cs="宋体"/>
          <w:b/>
          <w:bCs/>
          <w:i w:val="0"/>
          <w:iCs w:val="0"/>
          <w:caps w:val="0"/>
          <w:color w:val="000000"/>
          <w:spacing w:val="0"/>
          <w:sz w:val="44"/>
          <w:szCs w:val="44"/>
          <w:shd w:val="clear" w:color="auto" w:fill="FFFFFF"/>
        </w:rPr>
        <w:t>管理实施细则》的通知</w:t>
      </w:r>
    </w:p>
    <w:p w14:paraId="18B3BA75">
      <w:pPr>
        <w:suppressAutoHyphens/>
        <w:bidi w:val="0"/>
        <w:spacing w:line="560" w:lineRule="exact"/>
        <w:ind w:firstLine="640" w:firstLineChars="200"/>
        <w:rPr>
          <w:rFonts w:hint="eastAsia" w:ascii="仿宋_GB2312" w:hAnsi="仿宋_GB2312" w:eastAsia="仿宋_GB2312" w:cs="仿宋_GB2312"/>
          <w:sz w:val="32"/>
          <w:szCs w:val="40"/>
          <w:lang w:val="en-US" w:eastAsia="zh-CN"/>
        </w:rPr>
      </w:pPr>
    </w:p>
    <w:p w14:paraId="0143684A">
      <w:pPr>
        <w:suppressAutoHyphens/>
        <w:bidi w:val="0"/>
        <w:spacing w:line="560" w:lineRule="exact"/>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（辽住建〔2020〕65号，</w:t>
      </w:r>
      <w:r>
        <w:rPr>
          <w:rFonts w:hint="eastAsia" w:ascii="仿宋_GB2312" w:hAnsi="仿宋_GB2312" w:eastAsia="仿宋_GB2312" w:cs="仿宋_GB2312"/>
          <w:sz w:val="32"/>
          <w:szCs w:val="40"/>
          <w:lang w:eastAsia="zh-CN"/>
        </w:rPr>
        <w:t>根据</w:t>
      </w:r>
      <w:r>
        <w:rPr>
          <w:rFonts w:hint="eastAsia" w:ascii="仿宋_GB2312" w:hAnsi="仿宋_GB2312" w:eastAsia="仿宋_GB2312" w:cs="仿宋_GB2312"/>
          <w:sz w:val="32"/>
          <w:szCs w:val="40"/>
          <w:lang w:val="en-US" w:eastAsia="zh-CN"/>
        </w:rPr>
        <w:t>2026年3月6日</w:t>
      </w:r>
      <w:r>
        <w:rPr>
          <w:rFonts w:hint="eastAsia" w:ascii="仿宋_GB2312" w:hAnsi="仿宋_GB2312" w:eastAsia="仿宋_GB2312" w:cs="仿宋_GB2312"/>
          <w:sz w:val="32"/>
          <w:szCs w:val="40"/>
          <w:lang w:eastAsia="zh-CN"/>
        </w:rPr>
        <w:t>辽住建〔202</w:t>
      </w: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3</w:t>
      </w:r>
      <w:r>
        <w:rPr>
          <w:rFonts w:hint="default"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lang w:eastAsia="zh-CN"/>
        </w:rPr>
        <w:t>号</w:t>
      </w:r>
      <w:r>
        <w:rPr>
          <w:rFonts w:hint="eastAsia" w:ascii="仿宋_GB2312" w:hAnsi="仿宋_GB2312" w:eastAsia="仿宋_GB2312" w:cs="仿宋_GB2312"/>
          <w:sz w:val="32"/>
          <w:szCs w:val="40"/>
          <w:lang w:val="en-US" w:eastAsia="zh-CN"/>
        </w:rPr>
        <w:t>修改。）</w:t>
      </w:r>
    </w:p>
    <w:p w14:paraId="04FDD5CF">
      <w:pPr>
        <w:suppressAutoHyphens/>
        <w:bidi w:val="0"/>
        <w:spacing w:line="560" w:lineRule="exact"/>
        <w:ind w:firstLine="640" w:firstLineChars="200"/>
        <w:rPr>
          <w:rFonts w:hint="eastAsia" w:ascii="仿宋_GB2312" w:hAnsi="仿宋_GB2312" w:eastAsia="仿宋_GB2312" w:cs="仿宋_GB2312"/>
          <w:sz w:val="32"/>
          <w:szCs w:val="40"/>
          <w:lang w:val="en-US" w:eastAsia="zh-CN"/>
        </w:rPr>
      </w:pPr>
    </w:p>
    <w:p w14:paraId="2CEB3A22">
      <w:pPr>
        <w:keepNext w:val="0"/>
        <w:keepLines w:val="0"/>
        <w:widowControl/>
        <w:suppressLineNumbers w:val="0"/>
        <w:suppressAutoHyphens/>
        <w:bidi w:val="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各市，沈抚示范区住建局、发展改革委：</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br w:type="textWrapping"/>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　　为贯彻落实《住房和城乡建设部国家发展改革委关于印发房屋建筑和市政基础设施项目工程总承包管理办法的通知》（建市规〔2019〕12号）、《辽宁省人民政府办公厅关于促进建筑业高质量发展的实施意见》（辽政办发〔2020〕8号），加快推进我省工程建设组织实施方式改革，提升工程建设质量和效益，省住房城乡建设厅、省发展改革委制定了《辽宁省房屋建筑和市政基础设施项目工程总承包管理实施细则》。现印发给你们，请结合本地区实际，认真贯彻执行。</w:t>
      </w:r>
    </w:p>
    <w:p w14:paraId="52EFDD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bidi w:val="0"/>
        <w:spacing w:before="0" w:beforeAutospacing="0" w:after="0" w:afterAutospacing="0" w:line="360" w:lineRule="atLeast"/>
        <w:ind w:left="0" w:right="0" w:firstLine="0"/>
        <w:jc w:val="right"/>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rPr>
        <w:t>辽宁省住房和城乡建设厅          </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辽宁省发展和改革委员会          </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2020年9月29日      </w:t>
      </w:r>
    </w:p>
    <w:p w14:paraId="789957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bidi w:val="0"/>
        <w:spacing w:before="0" w:beforeAutospacing="0" w:after="0" w:afterAutospacing="0" w:line="360" w:lineRule="atLeast"/>
        <w:ind w:left="0" w:right="0" w:firstLine="0"/>
        <w:jc w:val="both"/>
        <w:rPr>
          <w:rFonts w:hint="eastAsia" w:ascii="宋体" w:hAnsi="宋体" w:eastAsia="宋体" w:cs="宋体"/>
          <w:b/>
          <w:bCs/>
          <w:i w:val="0"/>
          <w:iCs w:val="0"/>
          <w:caps w:val="0"/>
          <w:color w:val="000000"/>
          <w:spacing w:val="0"/>
          <w:sz w:val="44"/>
          <w:szCs w:val="44"/>
          <w:shd w:val="clear" w:color="auto" w:fill="FFFFFF"/>
        </w:rPr>
      </w:pPr>
    </w:p>
    <w:p w14:paraId="58DF7E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bidi w:val="0"/>
        <w:spacing w:before="0" w:beforeAutospacing="0" w:after="0" w:afterAutospacing="0" w:line="360" w:lineRule="atLeast"/>
        <w:ind w:left="0" w:right="0" w:firstLine="0"/>
        <w:jc w:val="center"/>
        <w:rPr>
          <w:rFonts w:hint="eastAsia" w:ascii="宋体" w:hAnsi="宋体" w:eastAsia="宋体" w:cs="宋体"/>
          <w:i w:val="0"/>
          <w:iCs w:val="0"/>
          <w:caps w:val="0"/>
          <w:color w:val="000000"/>
          <w:spacing w:val="0"/>
          <w:sz w:val="44"/>
          <w:szCs w:val="44"/>
        </w:rPr>
      </w:pPr>
      <w:r>
        <w:rPr>
          <w:rFonts w:hint="eastAsia" w:ascii="宋体" w:hAnsi="宋体" w:eastAsia="宋体" w:cs="宋体"/>
          <w:b/>
          <w:bCs/>
          <w:i w:val="0"/>
          <w:iCs w:val="0"/>
          <w:caps w:val="0"/>
          <w:color w:val="000000"/>
          <w:spacing w:val="0"/>
          <w:sz w:val="44"/>
          <w:szCs w:val="44"/>
          <w:shd w:val="clear" w:color="auto" w:fill="FFFFFF"/>
        </w:rPr>
        <w:t>辽宁省房屋建筑和市政基础设施项目</w:t>
      </w:r>
      <w:r>
        <w:rPr>
          <w:rFonts w:hint="eastAsia" w:ascii="宋体" w:hAnsi="宋体" w:eastAsia="宋体" w:cs="宋体"/>
          <w:b/>
          <w:bCs/>
          <w:i w:val="0"/>
          <w:iCs w:val="0"/>
          <w:caps w:val="0"/>
          <w:color w:val="000000"/>
          <w:spacing w:val="0"/>
          <w:sz w:val="44"/>
          <w:szCs w:val="44"/>
          <w:shd w:val="clear" w:color="auto" w:fill="FFFFFF"/>
        </w:rPr>
        <w:br w:type="textWrapping"/>
      </w:r>
      <w:r>
        <w:rPr>
          <w:rFonts w:hint="eastAsia" w:ascii="宋体" w:hAnsi="宋体" w:eastAsia="宋体" w:cs="宋体"/>
          <w:b/>
          <w:bCs/>
          <w:i w:val="0"/>
          <w:iCs w:val="0"/>
          <w:caps w:val="0"/>
          <w:color w:val="000000"/>
          <w:spacing w:val="0"/>
          <w:sz w:val="44"/>
          <w:szCs w:val="44"/>
          <w:shd w:val="clear" w:color="auto" w:fill="FFFFFF"/>
        </w:rPr>
        <w:t>工程总承包管理实施细则</w:t>
      </w:r>
    </w:p>
    <w:p w14:paraId="2A089F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bidi w:val="0"/>
        <w:spacing w:before="0" w:beforeAutospacing="0" w:after="0" w:afterAutospacing="0" w:line="360" w:lineRule="atLeast"/>
        <w:ind w:left="0" w:right="0" w:firstLine="0"/>
        <w:jc w:val="center"/>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第一章　总则</w:t>
      </w:r>
    </w:p>
    <w:p w14:paraId="15D6C5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bidi w:val="0"/>
        <w:spacing w:before="0" w:beforeAutospacing="0" w:after="0" w:afterAutospacing="0" w:line="360" w:lineRule="atLeast"/>
        <w:ind w:left="0" w:right="0" w:firstLine="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第一条</w:t>
      </w:r>
      <w:r>
        <w:rPr>
          <w:rFonts w:hint="eastAsia" w:ascii="仿宋_GB2312" w:hAnsi="仿宋_GB2312" w:eastAsia="仿宋_GB2312" w:cs="仿宋_GB2312"/>
          <w:i w:val="0"/>
          <w:iCs w:val="0"/>
          <w:caps w:val="0"/>
          <w:color w:val="000000"/>
          <w:spacing w:val="0"/>
          <w:sz w:val="32"/>
          <w:szCs w:val="32"/>
          <w:shd w:val="clear" w:color="auto" w:fill="FFFFFF"/>
        </w:rPr>
        <w:t>　为推进和规范房屋建筑和市政基础设施项目工程总承包的实施和发展，提高工程建设质量和效益，根据《中华人民共和国建筑法》、《中华人民共和国招标投标法》、《必须招标的工程项目规定》（国家发展和改革委员会令第16号）、《住房和城乡建设部国家发展改革委关于印发〈房屋建筑和市政基础设施项目工程总承包管理办法〉的通知》（建市规〔2019〕12号）以及《辽宁省人民政府办公厅关于促进建筑业高质量发展的实施意见》（辽政办发〔2020〕8号）等法律法规和规范性文件，结合我省实际，制定本实施细则。</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第二条</w:t>
      </w:r>
      <w:r>
        <w:rPr>
          <w:rFonts w:hint="eastAsia" w:ascii="仿宋_GB2312" w:hAnsi="仿宋_GB2312" w:eastAsia="仿宋_GB2312" w:cs="仿宋_GB2312"/>
          <w:i w:val="0"/>
          <w:iCs w:val="0"/>
          <w:caps w:val="0"/>
          <w:color w:val="000000"/>
          <w:spacing w:val="0"/>
          <w:sz w:val="32"/>
          <w:szCs w:val="32"/>
          <w:shd w:val="clear" w:color="auto" w:fill="FFFFFF"/>
        </w:rPr>
        <w:t>　辽宁省行政区域内房屋建筑和市政基础设施建设项目依法实行工程总承包的，适用本细则。</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第三条</w:t>
      </w:r>
      <w:r>
        <w:rPr>
          <w:rFonts w:hint="eastAsia" w:ascii="仿宋_GB2312" w:hAnsi="仿宋_GB2312" w:eastAsia="仿宋_GB2312" w:cs="仿宋_GB2312"/>
          <w:i w:val="0"/>
          <w:iCs w:val="0"/>
          <w:caps w:val="0"/>
          <w:color w:val="000000"/>
          <w:spacing w:val="0"/>
          <w:sz w:val="32"/>
          <w:szCs w:val="32"/>
          <w:shd w:val="clear" w:color="auto" w:fill="FFFFFF"/>
        </w:rPr>
        <w:t>　本细则所称工程总承包，是指承包单位按照与建设单位签订的合同，对工程设计、采购、施工或者设计、施工等阶段实行总承包，并对工程的质量、安全、工期和造价等全面负责的工程建设组织实施方式。</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第四条</w:t>
      </w:r>
      <w:r>
        <w:rPr>
          <w:rFonts w:hint="eastAsia" w:ascii="仿宋_GB2312" w:hAnsi="仿宋_GB2312" w:eastAsia="仿宋_GB2312" w:cs="仿宋_GB2312"/>
          <w:i w:val="0"/>
          <w:iCs w:val="0"/>
          <w:caps w:val="0"/>
          <w:color w:val="000000"/>
          <w:spacing w:val="0"/>
          <w:sz w:val="32"/>
          <w:szCs w:val="32"/>
          <w:shd w:val="clear" w:color="auto" w:fill="FFFFFF"/>
        </w:rPr>
        <w:t>　省住房城乡建设主管部门对全省房屋建筑和市政基础设施工程总承包（以下简称工程总承包）活动实施指导和监督。</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省发展改革主管部门依据政府投资与固定资产投资建设管理的相关法律法规履行相应的监督管理职责。</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市、县（市、区）住房城乡建设主管部门负责本行政区域内房屋建筑和市政基础设施工程总承包活动的监督管理。</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市、县（市、区）发展改革主管部门依据政府投资与固定资产投资建设管理的相关法律法规在本行政区域内履行相应的监督管理职责。</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第五条</w:t>
      </w:r>
      <w:r>
        <w:rPr>
          <w:rFonts w:hint="eastAsia" w:ascii="仿宋_GB2312" w:hAnsi="仿宋_GB2312" w:eastAsia="仿宋_GB2312" w:cs="仿宋_GB2312"/>
          <w:i w:val="0"/>
          <w:iCs w:val="0"/>
          <w:caps w:val="0"/>
          <w:color w:val="000000"/>
          <w:spacing w:val="0"/>
          <w:sz w:val="32"/>
          <w:szCs w:val="32"/>
          <w:shd w:val="clear" w:color="auto" w:fill="FFFFFF"/>
        </w:rPr>
        <w:t>　工程总承包活动应当遵循合法、高效、公平、诚实、守信原则，合理分担风险，保证工程质量和安全，节约能源，保护生态环境，不得损害社会公共利益和他人的合法权益。</w:t>
      </w:r>
    </w:p>
    <w:p w14:paraId="0374A9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bidi w:val="0"/>
        <w:spacing w:before="0" w:beforeAutospacing="0" w:after="0" w:afterAutospacing="0" w:line="360" w:lineRule="atLeast"/>
        <w:ind w:left="0" w:right="0" w:firstLine="0"/>
        <w:jc w:val="center"/>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第二章　工程总承包项目发包和承包</w:t>
      </w:r>
    </w:p>
    <w:p w14:paraId="4C876E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bidi w:val="0"/>
        <w:spacing w:before="0" w:beforeAutospacing="0" w:after="0" w:afterAutospacing="0" w:line="360" w:lineRule="atLeast"/>
        <w:ind w:left="0" w:right="0" w:firstLine="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第六条</w:t>
      </w:r>
      <w:r>
        <w:rPr>
          <w:rFonts w:hint="eastAsia" w:ascii="仿宋_GB2312" w:hAnsi="仿宋_GB2312" w:eastAsia="仿宋_GB2312" w:cs="仿宋_GB2312"/>
          <w:i w:val="0"/>
          <w:iCs w:val="0"/>
          <w:caps w:val="0"/>
          <w:color w:val="000000"/>
          <w:spacing w:val="0"/>
          <w:sz w:val="32"/>
          <w:szCs w:val="32"/>
          <w:shd w:val="clear" w:color="auto" w:fill="FFFFFF"/>
        </w:rPr>
        <w:t>　建设单位应当根据工程项目的规模和复杂程度及自身管理能力等合理选择建设项目组织实施方式，自主决策采用工程总承包模式。</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建设范围、建设规模、建设标准、功能要求等前期条件明确、技术方案成熟的下列建设项目适宜采用工程总承包方式：</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（一）政府投资项目、国有资金占控股或者主导地位的项目；</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（二）抢险救灾项目；</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（三）装配式建筑项目。</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第七条</w:t>
      </w:r>
      <w:r>
        <w:rPr>
          <w:rFonts w:hint="eastAsia" w:ascii="仿宋_GB2312" w:hAnsi="仿宋_GB2312" w:eastAsia="仿宋_GB2312" w:cs="仿宋_GB2312"/>
          <w:i w:val="0"/>
          <w:iCs w:val="0"/>
          <w:caps w:val="0"/>
          <w:color w:val="000000"/>
          <w:spacing w:val="0"/>
          <w:sz w:val="32"/>
          <w:szCs w:val="32"/>
          <w:shd w:val="clear" w:color="auto" w:fill="FFFFFF"/>
        </w:rPr>
        <w:t>　建设单位应当在发包前完成项目审批、核准或者备案程序。</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采用工程总承包方式的企业投资项目，应当在核准或者备案后进行工程总承包项目发包。</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采用工程总承包方式的政府投资的房屋建筑和市政公用工程项目，原则上应当在初步设计审批完成后进行工程总承包项目发包。其中，按照国家有关规定简化报批文件和审批程序的政府投资项目，应当在完成相应的投资决策审批后进行工程总承包项目发包。</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第八条</w:t>
      </w:r>
      <w:r>
        <w:rPr>
          <w:rFonts w:hint="eastAsia" w:ascii="仿宋_GB2312" w:hAnsi="仿宋_GB2312" w:eastAsia="仿宋_GB2312" w:cs="仿宋_GB2312"/>
          <w:i w:val="0"/>
          <w:iCs w:val="0"/>
          <w:caps w:val="0"/>
          <w:color w:val="000000"/>
          <w:spacing w:val="0"/>
          <w:sz w:val="32"/>
          <w:szCs w:val="32"/>
          <w:shd w:val="clear" w:color="auto" w:fill="FFFFFF"/>
        </w:rPr>
        <w:t>　建设单位依法采用招标或者直接发包等方式选择工程总承包单位。</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工程总承包项目范围内的设计、采购或者施工中，有任一项属于依法必须进行招标的项目范围且达到国家规定规模标准的，应当采用招标的方式选择工程总承包单位。</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第九条</w:t>
      </w:r>
      <w:r>
        <w:rPr>
          <w:rFonts w:hint="eastAsia" w:ascii="仿宋_GB2312" w:hAnsi="仿宋_GB2312" w:eastAsia="仿宋_GB2312" w:cs="仿宋_GB2312"/>
          <w:i w:val="0"/>
          <w:iCs w:val="0"/>
          <w:caps w:val="0"/>
          <w:color w:val="000000"/>
          <w:spacing w:val="0"/>
          <w:sz w:val="32"/>
          <w:szCs w:val="32"/>
          <w:shd w:val="clear" w:color="auto" w:fill="FFFFFF"/>
        </w:rPr>
        <w:t>　建设单位和工程总承包单位应当加强设计、施工等环节管理，确保建设地点、建设规模、建设内容等符合项目审批、核准、备案要求。</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建设单位应当有满足施工所需要的资金安排。没有满足施工所需要的资金安排的，工程建设项目不得开工建设。</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政府投资项目所需资金应当按照国家有关规定确保落实到位，不得由工程总承包单位或者分包单位垫资建设。政府投资项目建设投资原则上不得超过经核定的投资概算。</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第十条</w:t>
      </w:r>
      <w:r>
        <w:rPr>
          <w:rFonts w:hint="eastAsia" w:ascii="仿宋_GB2312" w:hAnsi="仿宋_GB2312" w:eastAsia="仿宋_GB2312" w:cs="仿宋_GB2312"/>
          <w:i w:val="0"/>
          <w:iCs w:val="0"/>
          <w:caps w:val="0"/>
          <w:color w:val="000000"/>
          <w:spacing w:val="0"/>
          <w:sz w:val="32"/>
          <w:szCs w:val="32"/>
          <w:shd w:val="clear" w:color="auto" w:fill="FFFFFF"/>
        </w:rPr>
        <w:t>　工程总承包项目招标文件应当包括以下内容：</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（一）投标人须知，投标文件格式，包括项目的资金来源和落实情况等；</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（二）评标办法和标准；</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（三）拟签订合同的主要条款，应符合住房城乡建设部会同有关部门制定的工程总承包合同示范文本规定的关键内容；</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四）发包人要求，列明项目的目标、范围、设计和其他技术标准，包括对项目的内容、范围、规模、标准、功能、质量、安全、节约能源、生态环境保护、工期、验收、主要和关键设备的性能指标和规格等要求；</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（五）建设单位提供的资料和条件，包括发包前已完成的水文地质、工程地质、地形等工程勘察资料，以及可行性研究报告、方案设计文件或者初步设计文件等；</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（六）保证金缴纳方式，包括现金、银行保函、专业担保公司担保函、保证保险等方式；</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（七）采用建筑信息模型、实施装配式技术及要求达到绿色建筑相应标准的，招标文件应当明确；</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（八）要求投标人提交的其他材料。</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依法必须招标的项目可以参照国家发展改革委等九部委发布的《标准设计施工总承包招标文件》编制工程总承包招标文件。推荐使用由住房城乡建设部会同有关部门制定的工程总承包合同示范文本，并将其作为招标文件的组成部分。</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建设单位可以在招标文件中，提出对履约担保的要求，依法要求投标文件载明拟分包的内容。对于设有最高投标限价（招标控制价）的，应当明确最高投标限价（招标控制价）的详细内容（除综合单价分析表外）或者最高投标限价（招标控制价）计算方法等内容。</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第十一条</w:t>
      </w:r>
      <w:r>
        <w:rPr>
          <w:rFonts w:hint="eastAsia" w:ascii="仿宋_GB2312" w:hAnsi="仿宋_GB2312" w:eastAsia="仿宋_GB2312" w:cs="仿宋_GB2312"/>
          <w:i w:val="0"/>
          <w:iCs w:val="0"/>
          <w:caps w:val="0"/>
          <w:color w:val="000000"/>
          <w:spacing w:val="0"/>
          <w:sz w:val="32"/>
          <w:szCs w:val="32"/>
          <w:shd w:val="clear" w:color="auto" w:fill="FFFFFF"/>
        </w:rPr>
        <w:t>　工程总承包单位应当同时具有与工程规模相适应的工程设计资质和施工资质，或者由具有相应资质的设计单位和施工单位组成联合体。工程总承包单位应当具有相应的项目管理体系、项目管理能力，相应的财务、风险承担能力，以及与发包工程相类似的工程设计、施工或者工程总承包业绩。</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前款规定的“施工资质”“施工单位”是指与招标项目要求相符的施工总承包资质、具有上述资质的施工单位。</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招标人公开已完成的项目建议书、可行性研究报告、初步设计等文件的，编制项目可行性研究报告、工程方案设计、初步设计且具备工程设计资质、工程总承包条件的单位可以参与该工程总承包项目的投标，招标人应当在招标文件中予以明确。</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工程总承包单位不得是本工程总承包项目的代建单位、项目管理单位、监理单位、造价咨询单位、招标代理单位。</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第十二条</w:t>
      </w:r>
      <w:r>
        <w:rPr>
          <w:rFonts w:hint="eastAsia" w:ascii="仿宋_GB2312" w:hAnsi="仿宋_GB2312" w:eastAsia="仿宋_GB2312" w:cs="仿宋_GB2312"/>
          <w:i w:val="0"/>
          <w:iCs w:val="0"/>
          <w:caps w:val="0"/>
          <w:color w:val="000000"/>
          <w:spacing w:val="0"/>
          <w:sz w:val="32"/>
          <w:szCs w:val="32"/>
          <w:shd w:val="clear" w:color="auto" w:fill="FFFFFF"/>
        </w:rPr>
        <w:t>　除技术复杂的大型房屋建筑项目，跨越铁路、公路及其桥梁、涵洞等的大型市政基础设施项目，以及对工程设计或施工有特殊要求的项目外，以联合体方式承揽的，联合体成员中工程设计、施工单位原则上不宜超过3家。联合体各方应当共同与建设单位签订工程总承包合同，就工程总承包项目承担连带责任。联合体投标的牵头人（单位）根据招标文件确定。招标文件没有明确的，联合体协议应约定其中一方为牵头人（单位），并明确联合体成员单位的责任和权利。</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第十三条</w:t>
      </w:r>
      <w:r>
        <w:rPr>
          <w:rFonts w:hint="eastAsia" w:ascii="仿宋_GB2312" w:hAnsi="仿宋_GB2312" w:eastAsia="仿宋_GB2312" w:cs="仿宋_GB2312"/>
          <w:i w:val="0"/>
          <w:iCs w:val="0"/>
          <w:caps w:val="0"/>
          <w:color w:val="000000"/>
          <w:spacing w:val="0"/>
          <w:sz w:val="32"/>
          <w:szCs w:val="32"/>
          <w:shd w:val="clear" w:color="auto" w:fill="FFFFFF"/>
        </w:rPr>
        <w:t>　工程总承包项目经理是指具备法律法规及本办法规定条件，并经工程总承包单位任命或者授权负责工程总承包项目合同履行和项目管理的人员。</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工程总承包项目经理应具备下列条件：</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（一）取得相应工程建设类注册执业资格，包括注册建筑师、勘察设计注册工程师、注册建造师或注册监理工程师等；未实施注册执业资格的，取得高级专业技术职称。</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取得上述执业资格的，应该依法在一个工程设计或施工单位注册执业。</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二）担任过与拟建项目相类似的工程总承包项目经理、设计项目负责人、施工总承包项目负责人或者项目总监理工程师；以联合体方式承揽的工程总承包项目，应当在招标文件中明确工程总承包项目经理的条件。</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第十四条</w:t>
      </w:r>
      <w:r>
        <w:rPr>
          <w:rFonts w:hint="eastAsia" w:ascii="仿宋_GB2312" w:hAnsi="仿宋_GB2312" w:eastAsia="仿宋_GB2312" w:cs="仿宋_GB2312"/>
          <w:i w:val="0"/>
          <w:iCs w:val="0"/>
          <w:caps w:val="0"/>
          <w:color w:val="000000"/>
          <w:spacing w:val="0"/>
          <w:sz w:val="32"/>
          <w:szCs w:val="32"/>
          <w:shd w:val="clear" w:color="auto" w:fill="FFFFFF"/>
        </w:rPr>
        <w:t>　招标人应当确定投标人编制投标文件所需要的合理时间。依法必须进行招标的项目，自招标文件开始发出之日起至投标人提交投标文件截止之日止，最短不得少于二十日。技术特别复杂、功能要求特殊的大型建设项目应当合理延长投标文件编制时间。</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第十五条</w:t>
      </w:r>
      <w:r>
        <w:rPr>
          <w:rFonts w:hint="eastAsia" w:ascii="仿宋_GB2312" w:hAnsi="仿宋_GB2312" w:eastAsia="仿宋_GB2312" w:cs="仿宋_GB2312"/>
          <w:i w:val="0"/>
          <w:iCs w:val="0"/>
          <w:caps w:val="0"/>
          <w:color w:val="000000"/>
          <w:spacing w:val="0"/>
          <w:sz w:val="32"/>
          <w:szCs w:val="32"/>
          <w:shd w:val="clear" w:color="auto" w:fill="FFFFFF"/>
        </w:rPr>
        <w:t>　工程总承包项目评标一般采用综合评估法，评审的主要因素包括工程总承包报价、工程总承包实施方案、类似工程总承包业绩、设计能力和优化深化合理性、项目经理能力、项目管理机构配置、工程总承包单位的综合实力、工程质量安全专项方案和信用状况等。</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第十六条</w:t>
      </w:r>
      <w:r>
        <w:rPr>
          <w:rFonts w:hint="eastAsia" w:ascii="仿宋_GB2312" w:hAnsi="仿宋_GB2312" w:eastAsia="仿宋_GB2312" w:cs="仿宋_GB2312"/>
          <w:i w:val="0"/>
          <w:iCs w:val="0"/>
          <w:caps w:val="0"/>
          <w:color w:val="000000"/>
          <w:spacing w:val="0"/>
          <w:sz w:val="32"/>
          <w:szCs w:val="32"/>
          <w:shd w:val="clear" w:color="auto" w:fill="FFFFFF"/>
        </w:rPr>
        <w:t>　依法必须招标的项目，评标委员会的组建应当依照项目特点由招标人代表、综合评标专家，以及从事设计、施工、造价等方面的专家组成，技术、经济专家的比例按照《招标投标法》规定执行。</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第十七条</w:t>
      </w:r>
      <w:r>
        <w:rPr>
          <w:rFonts w:hint="eastAsia" w:ascii="仿宋_GB2312" w:hAnsi="仿宋_GB2312" w:eastAsia="仿宋_GB2312" w:cs="仿宋_GB2312"/>
          <w:i w:val="0"/>
          <w:iCs w:val="0"/>
          <w:caps w:val="0"/>
          <w:color w:val="000000"/>
          <w:spacing w:val="0"/>
          <w:sz w:val="32"/>
          <w:szCs w:val="32"/>
          <w:shd w:val="clear" w:color="auto" w:fill="FFFFFF"/>
        </w:rPr>
        <w:t>　建设单位和工程总承包单位应当加强风险管控，公平合理地分担风险。</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建设单位承担的风险主要包括：</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（一）由于建设单位原因产生的工程费用和工期的变化；</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（二）主要工程材料、设备、人工价格与招标时基期价相比，波动幅度超过合同约定幅度的部分；</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（三）因国家法律法规与政策性规定变化引起的合同价格变化；</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（四）不可预见工程地质条件变化造成工程费用和工期的调整；</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（五）不可抗力造成的工程费用和工期的变化。</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工程总承包单位承担由于工程总承包单位原因造成的设计文件变更、施工技术以及组织管理变化造成的风险。</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风险分担的具体内容及范围应当在招标文件和合同中约定。不得采用无限风险、所有风险及类似语句规定计价中的风险内容及范围。</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鼓励建设单位和工程总承包单位运用保险手段增强防范风险能力。建设单位要求工程总承包单位提供履约担保的，建设单位也应当同时向工程总承包单位提供工程款支付担保。</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第十八条</w:t>
      </w:r>
      <w:r>
        <w:rPr>
          <w:rFonts w:hint="eastAsia" w:ascii="仿宋_GB2312" w:hAnsi="仿宋_GB2312" w:eastAsia="仿宋_GB2312" w:cs="仿宋_GB2312"/>
          <w:i w:val="0"/>
          <w:iCs w:val="0"/>
          <w:caps w:val="0"/>
          <w:color w:val="000000"/>
          <w:spacing w:val="0"/>
          <w:sz w:val="32"/>
          <w:szCs w:val="32"/>
          <w:shd w:val="clear" w:color="auto" w:fill="FFFFFF"/>
        </w:rPr>
        <w:t>　企业投资项目的工程总承包宜采用总价合同，政府投资项目的工程总承包应当合理确定合同价格形式。采用总价合同的，除合同约定可以调整的情形外，合同总价一般不予调整。</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建设单位和工程总承包单位可以在合同中约定工程总承包的计量规则和计价方法。住房城乡建设部对工程总承包计量规则和计价方法另有规定的，从其规定。</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依法必须进行招标的项目，合同价格应当在充分竞争的基础上合理确定。</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采用总价合同的，招标文件及合同中应明确建设范围、建设规模、建设标准、功能需求、主要材料设备型号（技术参数）与质量要求等内容。</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第十九条</w:t>
      </w:r>
      <w:r>
        <w:rPr>
          <w:rFonts w:hint="eastAsia" w:ascii="仿宋_GB2312" w:hAnsi="仿宋_GB2312" w:eastAsia="仿宋_GB2312" w:cs="仿宋_GB2312"/>
          <w:i w:val="0"/>
          <w:iCs w:val="0"/>
          <w:caps w:val="0"/>
          <w:color w:val="000000"/>
          <w:spacing w:val="0"/>
          <w:sz w:val="32"/>
          <w:szCs w:val="32"/>
          <w:shd w:val="clear" w:color="auto" w:fill="FFFFFF"/>
        </w:rPr>
        <w:t>　拟采用工程总承包建设的项目，在其方案设计或初步设计阶段，若建设单位对工程质量和建设工期有特殊要求，要求创建市级及以上优质工程奖或在能确保质量和安全的前提下压缩工期超过定额工期20%的，应在投资估算或投资概算基础上增加创优质工程奖补偿奖励费或缩短定额工期补偿费。按照建设单位要求提前竣工验收交付使用的，建设单位应当向工程总承包单位增加合理的提前竣工交付使用补偿奖励费。</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招标人应当将创优质工程奖补偿奖励费或缩短定额工期补偿费列入招标文件，并在招标工程清单中增列相应项目。</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合同签订或开工后施工阶段，建设单位提出上述明确要求的，应当通过合同形式予以补充。具体按照国家及省相关规定执行。</w:t>
      </w:r>
    </w:p>
    <w:p w14:paraId="0A17DA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bidi w:val="0"/>
        <w:spacing w:before="0" w:beforeAutospacing="0" w:after="0" w:afterAutospacing="0" w:line="360" w:lineRule="atLeast"/>
        <w:ind w:left="0" w:right="0" w:firstLine="0"/>
        <w:jc w:val="center"/>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第三章　工程总承包项目组织实施</w:t>
      </w:r>
    </w:p>
    <w:p w14:paraId="07B71D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bidi w:val="0"/>
        <w:spacing w:before="0" w:beforeAutospacing="0" w:after="0" w:afterAutospacing="0" w:line="360" w:lineRule="atLeast"/>
        <w:ind w:left="0" w:right="0" w:firstLine="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第二十条</w:t>
      </w:r>
      <w:r>
        <w:rPr>
          <w:rFonts w:hint="eastAsia" w:ascii="仿宋_GB2312" w:hAnsi="仿宋_GB2312" w:eastAsia="仿宋_GB2312" w:cs="仿宋_GB2312"/>
          <w:i w:val="0"/>
          <w:iCs w:val="0"/>
          <w:caps w:val="0"/>
          <w:color w:val="000000"/>
          <w:spacing w:val="0"/>
          <w:sz w:val="32"/>
          <w:szCs w:val="32"/>
          <w:shd w:val="clear" w:color="auto" w:fill="FFFFFF"/>
        </w:rPr>
        <w:t>　建设单位应当加强工程总承包项目全过程管理，履行合同和法定义务。</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建设单位可以委托咨询单位提供招标代理、勘察、设计、监理、造价、项目管理等全过程咨询服务。</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第二十一条</w:t>
      </w:r>
      <w:r>
        <w:rPr>
          <w:rFonts w:hint="eastAsia" w:ascii="仿宋_GB2312" w:hAnsi="仿宋_GB2312" w:eastAsia="仿宋_GB2312" w:cs="仿宋_GB2312"/>
          <w:i w:val="0"/>
          <w:iCs w:val="0"/>
          <w:caps w:val="0"/>
          <w:color w:val="000000"/>
          <w:spacing w:val="0"/>
          <w:sz w:val="32"/>
          <w:szCs w:val="32"/>
          <w:shd w:val="clear" w:color="auto" w:fill="FFFFFF"/>
        </w:rPr>
        <w:t>　工程总承包单位应当建立与工程总承包相适应的组织机构和管理制度，形成项目设计管理、采购管理、施工管理、试运行管理以及质量、安全、工期、造价、节约能源和生态环境保护等工程总承包综合管理能力。</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第二十二条</w:t>
      </w:r>
      <w:r>
        <w:rPr>
          <w:rFonts w:hint="eastAsia" w:ascii="仿宋_GB2312" w:hAnsi="仿宋_GB2312" w:eastAsia="仿宋_GB2312" w:cs="仿宋_GB2312"/>
          <w:i w:val="0"/>
          <w:iCs w:val="0"/>
          <w:caps w:val="0"/>
          <w:color w:val="000000"/>
          <w:spacing w:val="0"/>
          <w:sz w:val="32"/>
          <w:szCs w:val="32"/>
          <w:shd w:val="clear" w:color="auto" w:fill="FFFFFF"/>
        </w:rPr>
        <w:t>　工程总承包单位可以采用直接发包的方式进行分包。但以暂估价形式包括在总承包范围内的工程、货物、服务分包时，属于依法必须进行招标的项目范围且达到国家规定规模标准的，应当依法招标。招标可以由建设单位和工程总承包单位联合招标，也可以经建设单位同意由工程总承包单位单独招标，具体方式由建设单位在工程总承包招标文件或工程总承包合同中约定。</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属于上述应当依法招标范围的，未经单独招标或联合招标，招标人、工程总承包单位不得以总承包分包名义违法直接发包。</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第二十三条</w:t>
      </w:r>
      <w:r>
        <w:rPr>
          <w:rFonts w:hint="eastAsia" w:ascii="仿宋_GB2312" w:hAnsi="仿宋_GB2312" w:eastAsia="仿宋_GB2312" w:cs="仿宋_GB2312"/>
          <w:i w:val="0"/>
          <w:iCs w:val="0"/>
          <w:caps w:val="0"/>
          <w:color w:val="000000"/>
          <w:spacing w:val="0"/>
          <w:sz w:val="32"/>
          <w:szCs w:val="32"/>
          <w:shd w:val="clear" w:color="auto" w:fill="FFFFFF"/>
        </w:rPr>
        <w:t>　按照合同约定或者经建设单位同意，同时具有相应工程设计和施工资质中标或者以联合体形式中标的工程总承包单位，可以将工程总承包项目中的非主体设计或者非主体结构、非关键性专业施工业务分包给具备相应资质的单位，但不得将工程总承包项目中的主体设计或者主体结构、关键性专业施工业务分包。工程总承包单位不得将工程总承包项目中的设计和施工的全部业务一并转包，不得将工程总承包项目中的设计或施工的全部业务分别分包给其他单位，也不得以专业工程名义违法分包给具有施工资质的单位。</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工程总承包项目除法律、法规、规章等规定的不得分包的内容外，合同各方约定的其他不得分包的内容应当在招标文件中明确。</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第二十四条</w:t>
      </w:r>
      <w:r>
        <w:rPr>
          <w:rFonts w:hint="eastAsia" w:ascii="仿宋_GB2312" w:hAnsi="仿宋_GB2312" w:eastAsia="仿宋_GB2312" w:cs="仿宋_GB2312"/>
          <w:i w:val="0"/>
          <w:iCs w:val="0"/>
          <w:caps w:val="0"/>
          <w:color w:val="000000"/>
          <w:spacing w:val="0"/>
          <w:sz w:val="32"/>
          <w:szCs w:val="32"/>
          <w:shd w:val="clear" w:color="auto" w:fill="FFFFFF"/>
        </w:rPr>
        <w:t>　工程总承包单位不得将工程总承包项目转包。</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采用联合体方式承包工程总承包项目的，在联合体分工协议中约定或者在项目实际实施过程中，联合体一方既不实施工程设计或者施工业务，也不对工程实施组织管理，且向联合体其他成员或者以分包形式收取管理费或者其他类似费用的，属于联合体一方将承包的工程转包给其他方。</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第二十五条</w:t>
      </w:r>
      <w:r>
        <w:rPr>
          <w:rFonts w:hint="eastAsia" w:ascii="仿宋_GB2312" w:hAnsi="仿宋_GB2312" w:eastAsia="仿宋_GB2312" w:cs="仿宋_GB2312"/>
          <w:i w:val="0"/>
          <w:iCs w:val="0"/>
          <w:caps w:val="0"/>
          <w:color w:val="000000"/>
          <w:spacing w:val="0"/>
          <w:sz w:val="32"/>
          <w:szCs w:val="32"/>
          <w:shd w:val="clear" w:color="auto" w:fill="FFFFFF"/>
        </w:rPr>
        <w:t>　工程总承包单位应当设置项目经理，在施工现场设立项目管理机构，配备技术、质量、安全、进度、费用（含劳资）、设备和材料等现场管理岗位及管理人员，加强设计、采购与施工的协调，完善和优化设计，改进施工方案，实现对工程总承包项目的有效管理控制。</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工程总承包项目经理不得同时在两个及两个以上工程建设项目担任工程总承包项目经理或者施工项目负责人。</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第二十六条</w:t>
      </w:r>
      <w:r>
        <w:rPr>
          <w:rFonts w:hint="eastAsia" w:ascii="仿宋_GB2312" w:hAnsi="仿宋_GB2312" w:eastAsia="仿宋_GB2312" w:cs="仿宋_GB2312"/>
          <w:i w:val="0"/>
          <w:iCs w:val="0"/>
          <w:caps w:val="0"/>
          <w:color w:val="000000"/>
          <w:spacing w:val="0"/>
          <w:sz w:val="32"/>
          <w:szCs w:val="32"/>
          <w:shd w:val="clear" w:color="auto" w:fill="FFFFFF"/>
        </w:rPr>
        <w:t>　工程总承包项目按照法律法规规定应当进行施工图设计文件审查的，可以根据项目实施情况，分阶段（基坑、地下室、地上部分）、分子项、分单体进行施工图设计文件审查送审，具体送审方式由建设单位与施工图审查机构约定。</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第二十七条</w:t>
      </w:r>
      <w:r>
        <w:rPr>
          <w:rFonts w:hint="eastAsia" w:ascii="仿宋_GB2312" w:hAnsi="仿宋_GB2312" w:eastAsia="仿宋_GB2312" w:cs="仿宋_GB2312"/>
          <w:i w:val="0"/>
          <w:iCs w:val="0"/>
          <w:caps w:val="0"/>
          <w:color w:val="000000"/>
          <w:spacing w:val="0"/>
          <w:sz w:val="32"/>
          <w:szCs w:val="32"/>
          <w:shd w:val="clear" w:color="auto" w:fill="FFFFFF"/>
        </w:rPr>
        <w:t>　工程总承包单位应当对其总承包的全部建设工程质量负总责。分包单位对其分包工程的质量负责。分包不免除工程总承包单位对其承包的全部建设工程的法定质量责任。</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工程总承包单位、工程总承包项目经理依法承担质量终身责任。</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工程设计或施工分包单位、设计项目负责人或施工分包项目负责人应当按照分包合同的约定对其分包工程的质量向工程总承包单位负责，工程总承包单位与分包单位对分包工程的质量承担连带责任。</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建设单位对工程总承包项目质量负首要责任，不得迫使工程总承包单位以低于成本的价格竞标，不得明示或暗示工程总承包单位违反工程建设强制性标准、降低建设工程质量，不得明示或暗示工程总承包单位使用不合格的建筑材料、建筑构配件和设备。</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第二十八条</w:t>
      </w:r>
      <w:r>
        <w:rPr>
          <w:rFonts w:hint="eastAsia" w:ascii="仿宋_GB2312" w:hAnsi="仿宋_GB2312" w:eastAsia="仿宋_GB2312" w:cs="仿宋_GB2312"/>
          <w:i w:val="0"/>
          <w:iCs w:val="0"/>
          <w:caps w:val="0"/>
          <w:color w:val="000000"/>
          <w:spacing w:val="0"/>
          <w:sz w:val="32"/>
          <w:szCs w:val="32"/>
          <w:shd w:val="clear" w:color="auto" w:fill="FFFFFF"/>
        </w:rPr>
        <w:t>　工程总承包单位对承包范围内工程的安全生产负总责。分包单位应当服从工程总承包单位的安全生产管理，分包单位不服从管理导致生产安全事故的，由分包单位承担主要责任。分包不免除工程总承包单位对其承包的全部建设工程的法定安全生产责任。</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建设单位不得对工程总承包单位提出不符合建设工程质量安全法律法规和强制性标准规定的要求，不得随意压缩合理工期，不得明示或者暗示工程总承包单位购买、租赁、使用不符合安全施工要求的安全防护用具、机械设备、施工机具及配件、消防设施和器材。</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第二十九条</w:t>
      </w:r>
      <w:r>
        <w:rPr>
          <w:rFonts w:hint="eastAsia" w:ascii="仿宋_GB2312" w:hAnsi="仿宋_GB2312" w:eastAsia="仿宋_GB2312" w:cs="仿宋_GB2312"/>
          <w:i w:val="0"/>
          <w:iCs w:val="0"/>
          <w:caps w:val="0"/>
          <w:color w:val="000000"/>
          <w:spacing w:val="0"/>
          <w:sz w:val="32"/>
          <w:szCs w:val="32"/>
          <w:shd w:val="clear" w:color="auto" w:fill="FFFFFF"/>
        </w:rPr>
        <w:t>　建设单位不得设置不合理工期，也不得单方面强行要求缩短工期或者任意压缩合理工期。</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工程总承包单位应当依据合同约定对工期全面负责，对项目总进度和各阶段的进度进行控制管理，通过设计、采购、施工各阶段的协调、配合与合理交叉，科学制定、实施、控制进度计划，确保工程按期竣工。</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第三十条</w:t>
      </w:r>
      <w:r>
        <w:rPr>
          <w:rFonts w:hint="eastAsia" w:ascii="仿宋_GB2312" w:hAnsi="仿宋_GB2312" w:eastAsia="仿宋_GB2312" w:cs="仿宋_GB2312"/>
          <w:i w:val="0"/>
          <w:iCs w:val="0"/>
          <w:caps w:val="0"/>
          <w:color w:val="000000"/>
          <w:spacing w:val="0"/>
          <w:sz w:val="32"/>
          <w:szCs w:val="32"/>
          <w:shd w:val="clear" w:color="auto" w:fill="FFFFFF"/>
        </w:rPr>
        <w:t>　工程已完成全部施工并符合竣工验收规定和约定条件的，工程总承包单位应当向建设单位提交工程竣工报告，依照合同约定履行工程竣工验收。建设单位应当按照法定程序和合同约定期限组织工程总承包单位、工程监理单位、各专业承包企业及相关单位进行工程竣工验收。已实施工程竣工联合验收的，依照省、市、县（市、区）的规定执行。工程总承包单位负责组织各分包单位依法参加建设单位组织的工程竣工验收。</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工程竣工验收合格后应当在法定时限内向县级以上住房城乡建设主管部门备案。</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第三十一条</w:t>
      </w:r>
      <w:r>
        <w:rPr>
          <w:rFonts w:hint="eastAsia" w:ascii="仿宋_GB2312" w:hAnsi="仿宋_GB2312" w:eastAsia="仿宋_GB2312" w:cs="仿宋_GB2312"/>
          <w:i w:val="0"/>
          <w:iCs w:val="0"/>
          <w:caps w:val="0"/>
          <w:color w:val="000000"/>
          <w:spacing w:val="0"/>
          <w:sz w:val="32"/>
          <w:szCs w:val="32"/>
          <w:shd w:val="clear" w:color="auto" w:fill="FFFFFF"/>
        </w:rPr>
        <w:t>　建设单位应当及时收集、整理、汇总建设项目各环节的文件资料，以及工程总承包单位、工程监理等单位移交的工程资料，建立项目纸质档案和电子档案。列入城建档案馆档案接收范围的工程，城建档案管理机构按照建设工程竣工联合验收的规定对工程档案进行验收。工程档案应在法定时限内向城建档案管理部门移交。</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工程总承包单位负责总承包范围内工程实施过程中的各类工程资料的审核、签署、整理等工作，并向建设单位移交相应工程档案资料。工程总承包单位协助建设单位建立工程电子文件和电子档案。</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第三十二条</w:t>
      </w:r>
      <w:r>
        <w:rPr>
          <w:rFonts w:hint="eastAsia" w:ascii="仿宋_GB2312" w:hAnsi="仿宋_GB2312" w:eastAsia="仿宋_GB2312" w:cs="仿宋_GB2312"/>
          <w:i w:val="0"/>
          <w:iCs w:val="0"/>
          <w:caps w:val="0"/>
          <w:color w:val="000000"/>
          <w:spacing w:val="0"/>
          <w:sz w:val="32"/>
          <w:szCs w:val="32"/>
          <w:shd w:val="clear" w:color="auto" w:fill="FFFFFF"/>
        </w:rPr>
        <w:t>　工程保修责任书由建设单位与工程总承包单位签署，保修期内工程总承包单位应当根据法律法规规定以及合同约定承担保修责任，工程总承包单位不得以其与分包单位之间的保修责任划分而拒绝履行保修责任。工程保修连带责任按照法律法规规定执行。</w:t>
      </w:r>
    </w:p>
    <w:p w14:paraId="1C960B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bidi w:val="0"/>
        <w:spacing w:before="0" w:beforeAutospacing="0" w:after="0" w:afterAutospacing="0" w:line="360" w:lineRule="atLeast"/>
        <w:ind w:left="0" w:right="0" w:firstLine="0"/>
        <w:jc w:val="center"/>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第四章　监督管理</w:t>
      </w:r>
    </w:p>
    <w:p w14:paraId="039B34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bidi w:val="0"/>
        <w:spacing w:before="0" w:beforeAutospacing="0" w:after="0" w:afterAutospacing="0" w:line="360" w:lineRule="atLeast"/>
        <w:ind w:left="0" w:right="0" w:firstLine="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第三十三条</w:t>
      </w:r>
      <w:r>
        <w:rPr>
          <w:rFonts w:hint="eastAsia" w:ascii="仿宋_GB2312" w:hAnsi="仿宋_GB2312" w:eastAsia="仿宋_GB2312" w:cs="仿宋_GB2312"/>
          <w:i w:val="0"/>
          <w:iCs w:val="0"/>
          <w:caps w:val="0"/>
          <w:color w:val="000000"/>
          <w:spacing w:val="0"/>
          <w:sz w:val="32"/>
          <w:szCs w:val="32"/>
          <w:shd w:val="clear" w:color="auto" w:fill="FFFFFF"/>
        </w:rPr>
        <w:t>　住房城乡建设等有关部门按照职责分工对本行政区域内房屋建筑和市政基础设施项目工程总承包活动与招标投标行为实施监督管理，依法查处违法违规行为。</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第三十四条</w:t>
      </w:r>
      <w:r>
        <w:rPr>
          <w:rFonts w:hint="eastAsia" w:ascii="仿宋_GB2312" w:hAnsi="仿宋_GB2312" w:eastAsia="仿宋_GB2312" w:cs="仿宋_GB2312"/>
          <w:i w:val="0"/>
          <w:iCs w:val="0"/>
          <w:caps w:val="0"/>
          <w:color w:val="000000"/>
          <w:spacing w:val="0"/>
          <w:sz w:val="32"/>
          <w:szCs w:val="32"/>
          <w:shd w:val="clear" w:color="auto" w:fill="FFFFFF"/>
        </w:rPr>
        <w:t>　工程总承包单位实施工程总承包项目施工的，或联合体中施工单位，应当依法取得安全生产许可证；将工程总承包项目中的非主体结构、非关键性专业施工业务依法分包给具有相应资质的施工单位的，分包施工单位也应当依法取得安全生产许可证。</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第三十五条</w:t>
      </w:r>
      <w:r>
        <w:rPr>
          <w:rFonts w:hint="eastAsia" w:ascii="仿宋_GB2312" w:hAnsi="仿宋_GB2312" w:eastAsia="仿宋_GB2312" w:cs="仿宋_GB2312"/>
          <w:i w:val="0"/>
          <w:iCs w:val="0"/>
          <w:caps w:val="0"/>
          <w:color w:val="000000"/>
          <w:spacing w:val="0"/>
          <w:sz w:val="32"/>
          <w:szCs w:val="32"/>
          <w:shd w:val="clear" w:color="auto" w:fill="FFFFFF"/>
        </w:rPr>
        <w:t>　工程总承包项目开工前，建设单位可以整体或者分阶段向项目所在地的市、县（市、区）住房城乡建设主管部门申请领取施工许可证。</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第三十六条</w:t>
      </w:r>
      <w:r>
        <w:rPr>
          <w:rFonts w:hint="eastAsia" w:ascii="仿宋_GB2312" w:hAnsi="仿宋_GB2312" w:eastAsia="仿宋_GB2312" w:cs="仿宋_GB2312"/>
          <w:i w:val="0"/>
          <w:iCs w:val="0"/>
          <w:caps w:val="0"/>
          <w:color w:val="000000"/>
          <w:spacing w:val="0"/>
          <w:sz w:val="32"/>
          <w:szCs w:val="32"/>
          <w:shd w:val="clear" w:color="auto" w:fill="FFFFFF"/>
        </w:rPr>
        <w:t>　建设单位申请领取施工许可证时，可以提交建设单位与中标的工程总承包单位签订的工程总承包合同，作为已经确定建筑施工单位的申请要件。可以分阶段（基坑、地下室、地上部分）、分单体提交经审查合格的施工图设计文件，作为申请领取施工许可证所需的要件。可以提交由工程总承包单位组织编制的施工组织设计文件，作为保证工程质量安全具体措施的要件。</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市、县（市、区）住房城乡建设主管部门不得违反法律法规规定和本办法规定，增设工程总承包项目办理施工许可证无法律法规依据的其他条件。</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第三十七条</w:t>
      </w:r>
      <w:r>
        <w:rPr>
          <w:rFonts w:hint="eastAsia" w:ascii="仿宋_GB2312" w:hAnsi="仿宋_GB2312" w:eastAsia="仿宋_GB2312" w:cs="仿宋_GB2312"/>
          <w:i w:val="0"/>
          <w:iCs w:val="0"/>
          <w:caps w:val="0"/>
          <w:color w:val="000000"/>
          <w:spacing w:val="0"/>
          <w:sz w:val="32"/>
          <w:szCs w:val="32"/>
          <w:shd w:val="clear" w:color="auto" w:fill="FFFFFF"/>
        </w:rPr>
        <w:t>　工程总承包项目的施工图设计文件审查报告及其合格书、备案表、施工许可证、工程质量安全监督手续、竣工验收备案登记表、建筑物永久性标牌、质量终身责任信息表等相关许可和备案表格，以及需要工程总承包单位签署意见的工程管理技术文件中，应当增加“工程总承包单位”及其“工程总承包项目经理”等栏目。</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第三十八条</w:t>
      </w:r>
      <w:r>
        <w:rPr>
          <w:rFonts w:hint="eastAsia" w:ascii="仿宋_GB2312" w:hAnsi="仿宋_GB2312" w:eastAsia="仿宋_GB2312" w:cs="仿宋_GB2312"/>
          <w:i w:val="0"/>
          <w:iCs w:val="0"/>
          <w:caps w:val="0"/>
          <w:color w:val="000000"/>
          <w:spacing w:val="0"/>
          <w:sz w:val="32"/>
          <w:szCs w:val="32"/>
          <w:shd w:val="clear" w:color="auto" w:fill="FFFFFF"/>
        </w:rPr>
        <w:t>　各级住房城乡建设主管部门应当加强对工程总承包项目各方责任主体及项目管理人员的信用监督管理，及时采集本行政区域内工程总承包项目、各参建单位、项目管理人员信息以及信用信息，按照相关规定记录并通过省级建筑市场监管与诚信一体化工作平台报送至全国建筑市场监管公共服务平台，统一对外公布各参建单位及项目管理人员信用信息。</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第三十九条</w:t>
      </w:r>
      <w:r>
        <w:rPr>
          <w:rFonts w:hint="eastAsia" w:ascii="仿宋_GB2312" w:hAnsi="仿宋_GB2312" w:eastAsia="仿宋_GB2312" w:cs="仿宋_GB2312"/>
          <w:i w:val="0"/>
          <w:iCs w:val="0"/>
          <w:caps w:val="0"/>
          <w:color w:val="000000"/>
          <w:spacing w:val="0"/>
          <w:sz w:val="32"/>
          <w:szCs w:val="32"/>
          <w:shd w:val="clear" w:color="auto" w:fill="FFFFFF"/>
        </w:rPr>
        <w:t>　各行业组织应当加强工程总承包单位行业自律，发布行业公约，促进公平竞争，引导行业高质量发展。</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第四十条</w:t>
      </w:r>
      <w:r>
        <w:rPr>
          <w:rFonts w:hint="eastAsia" w:ascii="仿宋_GB2312" w:hAnsi="仿宋_GB2312" w:eastAsia="仿宋_GB2312" w:cs="仿宋_GB2312"/>
          <w:i w:val="0"/>
          <w:iCs w:val="0"/>
          <w:caps w:val="0"/>
          <w:color w:val="000000"/>
          <w:spacing w:val="0"/>
          <w:sz w:val="32"/>
          <w:szCs w:val="32"/>
          <w:shd w:val="clear" w:color="auto" w:fill="FFFFFF"/>
        </w:rPr>
        <w:t>　工程总承包单位和工程总承包项目经理在设计、施工活动中有转包、违法分包等违法违规行为或者造成工程质量安全事故的，按照法律法规对设计、施工单位及其设计项目负责人、施工项目负责人相同违法违规行为的规定追究责任。</w:t>
      </w:r>
    </w:p>
    <w:p w14:paraId="577E0B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bidi w:val="0"/>
        <w:spacing w:before="0" w:beforeAutospacing="0" w:after="0" w:afterAutospacing="0" w:line="360" w:lineRule="atLeast"/>
        <w:ind w:left="0" w:right="0" w:firstLine="0"/>
        <w:jc w:val="center"/>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第五章　附则</w:t>
      </w:r>
    </w:p>
    <w:p w14:paraId="4DB70D1A">
      <w:pPr>
        <w:keepNext w:val="0"/>
        <w:keepLines w:val="0"/>
        <w:pageBreakBefore w:val="0"/>
        <w:widowControl w:val="0"/>
        <w:kinsoku/>
        <w:wordWrap/>
        <w:overflowPunct/>
        <w:topLinePunct w:val="0"/>
        <w:autoSpaceDE/>
        <w:autoSpaceDN/>
        <w:bidi w:val="0"/>
        <w:adjustRightInd/>
        <w:snapToGrid/>
        <w:ind w:firstLine="665"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b/>
          <w:bCs/>
          <w:i w:val="0"/>
          <w:iCs w:val="0"/>
          <w:caps w:val="0"/>
          <w:color w:val="000000"/>
          <w:spacing w:val="0"/>
          <w:sz w:val="32"/>
          <w:szCs w:val="32"/>
          <w:shd w:val="clear" w:color="auto" w:fill="FFFFFF"/>
        </w:rPr>
        <w:t>第四十一条</w:t>
      </w:r>
      <w:r>
        <w:rPr>
          <w:rFonts w:hint="eastAsia" w:ascii="仿宋_GB2312" w:hAnsi="仿宋_GB2312" w:eastAsia="仿宋_GB2312" w:cs="仿宋_GB2312"/>
          <w:i w:val="0"/>
          <w:iCs w:val="0"/>
          <w:caps w:val="0"/>
          <w:color w:val="000000"/>
          <w:spacing w:val="0"/>
          <w:sz w:val="32"/>
          <w:szCs w:val="32"/>
          <w:shd w:val="clear" w:color="auto" w:fill="FFFFFF"/>
        </w:rPr>
        <w:t>　实施工程总承包的抢险救灾工程项目同时执行辽宁省人民政府有关抢险救灾工程项目管理的规定。</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第四十二条</w:t>
      </w:r>
      <w:r>
        <w:rPr>
          <w:rFonts w:hint="eastAsia" w:ascii="仿宋_GB2312" w:hAnsi="仿宋_GB2312" w:eastAsia="仿宋_GB2312" w:cs="仿宋_GB2312"/>
          <w:i w:val="0"/>
          <w:iCs w:val="0"/>
          <w:caps w:val="0"/>
          <w:color w:val="000000"/>
          <w:spacing w:val="0"/>
          <w:sz w:val="32"/>
          <w:szCs w:val="32"/>
          <w:shd w:val="clear" w:color="auto" w:fill="FFFFFF"/>
        </w:rPr>
        <w:t>　国外资本在辽投资依照国际惯例实行工程总承包方式的项目，工程设计单位、施工总承包单位可以根据招标文件的要求独立投标，中标作为工程总承包单位。</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第四十三条</w:t>
      </w:r>
      <w:r>
        <w:rPr>
          <w:rFonts w:hint="eastAsia" w:ascii="仿宋_GB2312" w:hAnsi="仿宋_GB2312" w:eastAsia="仿宋_GB2312" w:cs="仿宋_GB2312"/>
          <w:i w:val="0"/>
          <w:iCs w:val="0"/>
          <w:caps w:val="0"/>
          <w:color w:val="000000"/>
          <w:spacing w:val="0"/>
          <w:sz w:val="32"/>
          <w:szCs w:val="32"/>
          <w:shd w:val="clear" w:color="auto" w:fill="FFFFFF"/>
        </w:rPr>
        <w:t>　房屋建筑和市政基础设施工程以外的其他专业工程可参照本办法执行。</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第四十四条</w:t>
      </w:r>
      <w:r>
        <w:rPr>
          <w:rFonts w:hint="eastAsia" w:ascii="仿宋_GB2312" w:hAnsi="仿宋_GB2312" w:eastAsia="仿宋_GB2312" w:cs="仿宋_GB2312"/>
          <w:i w:val="0"/>
          <w:iCs w:val="0"/>
          <w:caps w:val="0"/>
          <w:color w:val="000000"/>
          <w:spacing w:val="0"/>
          <w:sz w:val="32"/>
          <w:szCs w:val="32"/>
          <w:shd w:val="clear" w:color="auto" w:fill="FFFFFF"/>
        </w:rPr>
        <w:t>　法律法规及国务院有关部门对工程总承包监督管理有规定的，从其规定。</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第四十五条</w:t>
      </w:r>
      <w:r>
        <w:rPr>
          <w:rFonts w:hint="eastAsia" w:ascii="仿宋_GB2312" w:hAnsi="仿宋_GB2312" w:eastAsia="仿宋_GB2312" w:cs="仿宋_GB2312"/>
          <w:i w:val="0"/>
          <w:iCs w:val="0"/>
          <w:caps w:val="0"/>
          <w:color w:val="000000"/>
          <w:spacing w:val="0"/>
          <w:sz w:val="32"/>
          <w:szCs w:val="32"/>
          <w:shd w:val="clear" w:color="auto" w:fill="FFFFFF"/>
        </w:rPr>
        <w:t>　本细则自2020年10月1日起施行。</w:t>
      </w:r>
    </w:p>
    <w:p w14:paraId="6C627BC6">
      <w:pPr>
        <w:keepNext w:val="0"/>
        <w:keepLines w:val="0"/>
        <w:pageBreakBefore w:val="0"/>
        <w:widowControl w:val="0"/>
        <w:kinsoku/>
        <w:wordWrap/>
        <w:overflowPunct/>
        <w:topLinePunct w:val="0"/>
        <w:autoSpaceDE/>
        <w:autoSpaceDN/>
        <w:bidi w:val="0"/>
        <w:adjustRightInd/>
        <w:snapToGrid/>
        <w:ind w:firstLine="665"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20F33E5A">
      <w:pPr>
        <w:keepNext w:val="0"/>
        <w:keepLines w:val="0"/>
        <w:pageBreakBefore w:val="0"/>
        <w:widowControl w:val="0"/>
        <w:kinsoku/>
        <w:wordWrap/>
        <w:overflowPunct/>
        <w:topLinePunct w:val="0"/>
        <w:autoSpaceDE/>
        <w:autoSpaceDN/>
        <w:bidi w:val="0"/>
        <w:adjustRightInd/>
        <w:snapToGrid/>
        <w:ind w:firstLine="665"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52DC597F">
      <w:pPr>
        <w:keepNext w:val="0"/>
        <w:keepLines w:val="0"/>
        <w:pageBreakBefore w:val="0"/>
        <w:widowControl w:val="0"/>
        <w:kinsoku/>
        <w:wordWrap/>
        <w:overflowPunct/>
        <w:topLinePunct w:val="0"/>
        <w:autoSpaceDE/>
        <w:autoSpaceDN/>
        <w:bidi w:val="0"/>
        <w:adjustRightInd/>
        <w:snapToGrid/>
        <w:ind w:firstLine="665"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120BDE94">
      <w:pPr>
        <w:keepNext w:val="0"/>
        <w:keepLines w:val="0"/>
        <w:pageBreakBefore w:val="0"/>
        <w:widowControl w:val="0"/>
        <w:kinsoku/>
        <w:wordWrap/>
        <w:overflowPunct/>
        <w:topLinePunct w:val="0"/>
        <w:autoSpaceDE/>
        <w:autoSpaceDN/>
        <w:bidi w:val="0"/>
        <w:adjustRightInd/>
        <w:snapToGrid/>
        <w:ind w:firstLine="665"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478C3A0B">
      <w:pPr>
        <w:keepNext w:val="0"/>
        <w:keepLines w:val="0"/>
        <w:pageBreakBefore w:val="0"/>
        <w:widowControl w:val="0"/>
        <w:kinsoku/>
        <w:wordWrap/>
        <w:overflowPunct/>
        <w:topLinePunct w:val="0"/>
        <w:autoSpaceDE/>
        <w:autoSpaceDN/>
        <w:bidi w:val="0"/>
        <w:adjustRightInd/>
        <w:snapToGrid/>
        <w:ind w:firstLine="665"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3CFF80DD">
      <w:pPr>
        <w:keepNext w:val="0"/>
        <w:keepLines w:val="0"/>
        <w:pageBreakBefore w:val="0"/>
        <w:widowControl w:val="0"/>
        <w:kinsoku/>
        <w:wordWrap/>
        <w:overflowPunct/>
        <w:topLinePunct w:val="0"/>
        <w:autoSpaceDE/>
        <w:autoSpaceDN/>
        <w:bidi w:val="0"/>
        <w:adjustRightInd/>
        <w:snapToGrid/>
        <w:ind w:firstLine="665"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5C8ACE63">
      <w:pPr>
        <w:keepNext w:val="0"/>
        <w:keepLines w:val="0"/>
        <w:pageBreakBefore w:val="0"/>
        <w:widowControl w:val="0"/>
        <w:kinsoku/>
        <w:wordWrap/>
        <w:overflowPunct/>
        <w:topLinePunct w:val="0"/>
        <w:autoSpaceDE/>
        <w:autoSpaceDN/>
        <w:bidi w:val="0"/>
        <w:adjustRightInd/>
        <w:snapToGrid/>
        <w:ind w:firstLine="665"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6395C1DC">
      <w:pPr>
        <w:keepNext w:val="0"/>
        <w:keepLines w:val="0"/>
        <w:pageBreakBefore w:val="0"/>
        <w:widowControl w:val="0"/>
        <w:kinsoku/>
        <w:wordWrap/>
        <w:overflowPunct/>
        <w:topLinePunct w:val="0"/>
        <w:autoSpaceDE/>
        <w:autoSpaceDN/>
        <w:bidi w:val="0"/>
        <w:adjustRightInd/>
        <w:snapToGrid/>
        <w:ind w:firstLine="665"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248D602B">
      <w:pPr>
        <w:keepNext w:val="0"/>
        <w:keepLines w:val="0"/>
        <w:pageBreakBefore w:val="0"/>
        <w:widowControl w:val="0"/>
        <w:kinsoku/>
        <w:wordWrap/>
        <w:overflowPunct/>
        <w:topLinePunct w:val="0"/>
        <w:autoSpaceDE/>
        <w:autoSpaceDN/>
        <w:bidi w:val="0"/>
        <w:adjustRightInd/>
        <w:snapToGrid/>
        <w:ind w:firstLine="665"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606CB442">
      <w:pPr>
        <w:keepNext w:val="0"/>
        <w:keepLines w:val="0"/>
        <w:pageBreakBefore w:val="0"/>
        <w:widowControl w:val="0"/>
        <w:kinsoku/>
        <w:wordWrap/>
        <w:overflowPunct/>
        <w:topLinePunct w:val="0"/>
        <w:autoSpaceDE/>
        <w:autoSpaceDN/>
        <w:bidi w:val="0"/>
        <w:adjustRightInd/>
        <w:snapToGrid/>
        <w:ind w:firstLine="665"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3C560F55">
      <w:pPr>
        <w:keepNext w:val="0"/>
        <w:keepLines w:val="0"/>
        <w:pageBreakBefore w:val="0"/>
        <w:widowControl w:val="0"/>
        <w:kinsoku/>
        <w:wordWrap/>
        <w:overflowPunct/>
        <w:topLinePunct w:val="0"/>
        <w:autoSpaceDE/>
        <w:autoSpaceDN/>
        <w:bidi w:val="0"/>
        <w:adjustRightInd/>
        <w:snapToGrid/>
        <w:ind w:firstLine="665"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32FFEF02">
      <w:pPr>
        <w:keepNext w:val="0"/>
        <w:keepLines w:val="0"/>
        <w:pageBreakBefore w:val="0"/>
        <w:widowControl w:val="0"/>
        <w:kinsoku/>
        <w:wordWrap/>
        <w:overflowPunct/>
        <w:topLinePunct w:val="0"/>
        <w:autoSpaceDE/>
        <w:autoSpaceDN/>
        <w:bidi w:val="0"/>
        <w:adjustRightInd/>
        <w:snapToGrid/>
        <w:ind w:firstLine="665"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243A56B2">
      <w:pPr>
        <w:keepNext w:val="0"/>
        <w:keepLines w:val="0"/>
        <w:pageBreakBefore w:val="0"/>
        <w:widowControl w:val="0"/>
        <w:kinsoku/>
        <w:wordWrap/>
        <w:overflowPunct/>
        <w:topLinePunct w:val="0"/>
        <w:autoSpaceDE/>
        <w:autoSpaceDN/>
        <w:bidi w:val="0"/>
        <w:adjustRightInd/>
        <w:snapToGrid/>
        <w:ind w:firstLine="665"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6077C1C6">
      <w:pPr>
        <w:keepNext w:val="0"/>
        <w:keepLines w:val="0"/>
        <w:pageBreakBefore w:val="0"/>
        <w:widowControl w:val="0"/>
        <w:kinsoku/>
        <w:wordWrap/>
        <w:overflowPunct/>
        <w:topLinePunct w:val="0"/>
        <w:autoSpaceDE/>
        <w:autoSpaceDN/>
        <w:bidi w:val="0"/>
        <w:adjustRightInd/>
        <w:snapToGrid/>
        <w:ind w:firstLine="665"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0D171C26">
      <w:pPr>
        <w:keepNext w:val="0"/>
        <w:keepLines w:val="0"/>
        <w:pageBreakBefore w:val="0"/>
        <w:widowControl w:val="0"/>
        <w:kinsoku/>
        <w:wordWrap/>
        <w:overflowPunct/>
        <w:topLinePunct w:val="0"/>
        <w:autoSpaceDE/>
        <w:autoSpaceDN/>
        <w:bidi w:val="0"/>
        <w:adjustRightInd/>
        <w:snapToGrid/>
        <w:ind w:firstLine="665"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17672B0B">
      <w:pPr>
        <w:keepNext w:val="0"/>
        <w:keepLines w:val="0"/>
        <w:pageBreakBefore w:val="0"/>
        <w:widowControl w:val="0"/>
        <w:kinsoku/>
        <w:wordWrap/>
        <w:overflowPunct/>
        <w:topLinePunct w:val="0"/>
        <w:autoSpaceDE/>
        <w:autoSpaceDN/>
        <w:bidi w:val="0"/>
        <w:adjustRightInd/>
        <w:snapToGrid/>
        <w:ind w:firstLine="665"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0FE3CFD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47A976AE">
      <w:pPr>
        <w:suppressAutoHyphens/>
        <w:bidi w:val="0"/>
        <w:jc w:val="center"/>
        <w:rPr>
          <w:rFonts w:hint="eastAsia" w:eastAsia="宋体"/>
          <w:b/>
          <w:bCs/>
          <w:sz w:val="44"/>
          <w:szCs w:val="44"/>
          <w:lang w:val="en-US" w:eastAsia="zh-CN"/>
        </w:rPr>
      </w:pPr>
    </w:p>
    <w:p w14:paraId="1B81087B">
      <w:pPr>
        <w:suppressAutoHyphens/>
        <w:bidi w:val="0"/>
        <w:jc w:val="center"/>
        <w:rPr>
          <w:rFonts w:hint="eastAsia" w:eastAsia="宋体"/>
          <w:b/>
          <w:bCs/>
          <w:sz w:val="44"/>
          <w:szCs w:val="44"/>
          <w:lang w:val="en-US" w:eastAsia="zh-CN"/>
        </w:rPr>
      </w:pPr>
    </w:p>
    <w:p w14:paraId="715D807A">
      <w:pPr>
        <w:suppressAutoHyphens/>
        <w:bidi w:val="0"/>
        <w:jc w:val="center"/>
        <w:rPr>
          <w:rFonts w:hint="eastAsia" w:eastAsia="宋体"/>
          <w:b/>
          <w:bCs/>
          <w:sz w:val="44"/>
          <w:szCs w:val="44"/>
          <w:lang w:val="en-US" w:eastAsia="zh-CN"/>
        </w:rPr>
      </w:pPr>
    </w:p>
    <w:p w14:paraId="129E6E61">
      <w:pPr>
        <w:suppressAutoHyphens/>
        <w:bidi w:val="0"/>
        <w:jc w:val="center"/>
        <w:rPr>
          <w:rFonts w:hint="eastAsia" w:ascii="仿宋_GB2312" w:hAnsi="仿宋_GB2312" w:eastAsia="仿宋_GB2312" w:cs="仿宋_GB2312"/>
          <w:sz w:val="32"/>
          <w:szCs w:val="40"/>
          <w:lang w:val="en-US" w:eastAsia="zh-CN"/>
        </w:rPr>
      </w:pPr>
      <w:r>
        <w:rPr>
          <w:rFonts w:hint="eastAsia" w:eastAsia="宋体"/>
          <w:b/>
          <w:bCs/>
          <w:sz w:val="44"/>
          <w:szCs w:val="44"/>
          <w:lang w:val="en-US" w:eastAsia="zh-CN"/>
        </w:rPr>
        <w:t>关于印发《关于完善质量保障体系提升建筑</w:t>
      </w:r>
      <w:r>
        <w:rPr>
          <w:rFonts w:hint="eastAsia" w:eastAsia="宋体"/>
          <w:b/>
          <w:bCs/>
          <w:sz w:val="44"/>
          <w:szCs w:val="44"/>
          <w:lang w:val="en-US" w:eastAsia="zh-CN"/>
        </w:rPr>
        <w:br w:type="textWrapping"/>
      </w:r>
      <w:r>
        <w:rPr>
          <w:rFonts w:hint="eastAsia" w:eastAsia="宋体"/>
          <w:b/>
          <w:bCs/>
          <w:sz w:val="44"/>
          <w:szCs w:val="44"/>
          <w:lang w:val="en-US" w:eastAsia="zh-CN"/>
        </w:rPr>
        <w:t>工程品质的若干措施》的通知</w:t>
      </w:r>
    </w:p>
    <w:p w14:paraId="63496418">
      <w:pPr>
        <w:suppressAutoHyphens/>
        <w:bidi w:val="0"/>
        <w:spacing w:line="560" w:lineRule="exact"/>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（辽住建〔2020〕81号，</w:t>
      </w:r>
      <w:r>
        <w:rPr>
          <w:rFonts w:hint="eastAsia" w:ascii="仿宋_GB2312" w:hAnsi="仿宋_GB2312" w:eastAsia="仿宋_GB2312" w:cs="仿宋_GB2312"/>
          <w:sz w:val="32"/>
          <w:szCs w:val="40"/>
          <w:lang w:eastAsia="zh-CN"/>
        </w:rPr>
        <w:t>根据</w:t>
      </w:r>
      <w:r>
        <w:rPr>
          <w:rFonts w:hint="eastAsia" w:ascii="仿宋_GB2312" w:hAnsi="仿宋_GB2312" w:eastAsia="仿宋_GB2312" w:cs="仿宋_GB2312"/>
          <w:sz w:val="32"/>
          <w:szCs w:val="40"/>
          <w:lang w:val="en-US" w:eastAsia="zh-CN"/>
        </w:rPr>
        <w:t>2026年3月6日</w:t>
      </w:r>
      <w:r>
        <w:rPr>
          <w:rFonts w:hint="eastAsia" w:ascii="仿宋_GB2312" w:hAnsi="仿宋_GB2312" w:eastAsia="仿宋_GB2312" w:cs="仿宋_GB2312"/>
          <w:sz w:val="32"/>
          <w:szCs w:val="40"/>
          <w:lang w:eastAsia="zh-CN"/>
        </w:rPr>
        <w:t>辽住建〔202</w:t>
      </w: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3</w:t>
      </w:r>
      <w:r>
        <w:rPr>
          <w:rFonts w:hint="default"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lang w:eastAsia="zh-CN"/>
        </w:rPr>
        <w:t>号</w:t>
      </w:r>
      <w:r>
        <w:rPr>
          <w:rFonts w:hint="eastAsia" w:ascii="仿宋_GB2312" w:hAnsi="仿宋_GB2312" w:eastAsia="仿宋_GB2312" w:cs="仿宋_GB2312"/>
          <w:sz w:val="32"/>
          <w:szCs w:val="40"/>
          <w:lang w:val="en-US" w:eastAsia="zh-CN"/>
        </w:rPr>
        <w:t>修改。）</w:t>
      </w:r>
    </w:p>
    <w:p w14:paraId="6476A20E">
      <w:pPr>
        <w:suppressAutoHyphens/>
        <w:bidi w:val="0"/>
        <w:jc w:val="both"/>
        <w:rPr>
          <w:rFonts w:hint="eastAsia" w:ascii="仿宋_GB2312" w:hAnsi="仿宋_GB2312" w:eastAsia="仿宋_GB2312" w:cs="仿宋_GB2312"/>
          <w:b w:val="0"/>
          <w:bCs w:val="0"/>
          <w:sz w:val="32"/>
          <w:szCs w:val="32"/>
        </w:rPr>
      </w:pPr>
    </w:p>
    <w:p w14:paraId="015545B1">
      <w:pPr>
        <w:suppressAutoHyphens/>
        <w:bidi w:val="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各市人民政府、沈抚示范区管委会：</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现将《关于完善质量保障体系提升建筑工程品质的若干措施》印发给你们，请认真贯彻落实。</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w:t>
      </w:r>
    </w:p>
    <w:p w14:paraId="1623FED0">
      <w:pPr>
        <w:keepNext w:val="0"/>
        <w:keepLines w:val="0"/>
        <w:pageBreakBefore w:val="0"/>
        <w:widowControl w:val="0"/>
        <w:suppressAutoHyphens/>
        <w:kinsoku/>
        <w:wordWrap/>
        <w:overflowPunct/>
        <w:topLinePunct w:val="0"/>
        <w:autoSpaceDE/>
        <w:autoSpaceDN/>
        <w:bidi w:val="0"/>
        <w:adjustRightInd/>
        <w:snapToGrid/>
        <w:jc w:val="righ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辽宁省住房和城乡建设厅</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辽宁省发展和改革委员会</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辽宁省财政厅</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辽宁省人力资源和社会保障厅</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辽宁省工业和信息化厅</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辽宁省应急管理</w:t>
      </w:r>
      <w:r>
        <w:rPr>
          <w:rFonts w:hint="default" w:ascii="仿宋_GB2312" w:hAnsi="仿宋_GB2312" w:eastAsia="仿宋_GB2312" w:cs="仿宋_GB2312"/>
          <w:b w:val="0"/>
          <w:bCs w:val="0"/>
          <w:sz w:val="32"/>
          <w:szCs w:val="32"/>
          <w:lang w:eastAsia="zh-CN"/>
        </w:rPr>
        <w:t>厅</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辽宁省商务厅</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辽宁省科学技术厅</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辽宁省文化和旅游厅</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辽宁省市场监督管理局</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中国人民银行沈阳</w:t>
      </w:r>
      <w:r>
        <w:rPr>
          <w:rFonts w:hint="default" w:ascii="仿宋_GB2312" w:hAnsi="仿宋_GB2312" w:eastAsia="仿宋_GB2312" w:cs="仿宋_GB2312"/>
          <w:b w:val="0"/>
          <w:bCs w:val="0"/>
          <w:sz w:val="32"/>
          <w:szCs w:val="32"/>
          <w:lang w:eastAsia="zh-CN"/>
        </w:rPr>
        <w:t>分行</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辽宁银保监局</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2020年11月30日</w:t>
      </w:r>
    </w:p>
    <w:p w14:paraId="59E9CF96">
      <w:pPr>
        <w:suppressAutoHyphens/>
        <w:bidi w:val="0"/>
        <w:jc w:val="center"/>
        <w:rPr>
          <w:rFonts w:hint="eastAsia" w:eastAsia="宋体"/>
          <w:b/>
          <w:bCs/>
          <w:sz w:val="44"/>
          <w:szCs w:val="44"/>
          <w:lang w:val="en-US" w:eastAsia="zh-CN"/>
        </w:rPr>
      </w:pPr>
      <w:r>
        <w:rPr>
          <w:rFonts w:hint="eastAsia" w:eastAsia="宋体"/>
          <w:b/>
          <w:bCs/>
          <w:sz w:val="44"/>
          <w:szCs w:val="44"/>
          <w:lang w:val="en-US" w:eastAsia="zh-CN"/>
        </w:rPr>
        <w:t>关于完善质量保障体系</w:t>
      </w:r>
      <w:r>
        <w:rPr>
          <w:rFonts w:hint="eastAsia" w:eastAsia="宋体"/>
          <w:b/>
          <w:bCs/>
          <w:sz w:val="44"/>
          <w:szCs w:val="44"/>
          <w:lang w:val="en-US" w:eastAsia="zh-CN"/>
        </w:rPr>
        <w:br w:type="textWrapping"/>
      </w:r>
      <w:r>
        <w:rPr>
          <w:rFonts w:hint="eastAsia" w:eastAsia="宋体"/>
          <w:b/>
          <w:bCs/>
          <w:sz w:val="44"/>
          <w:szCs w:val="44"/>
          <w:lang w:val="en-US" w:eastAsia="zh-CN"/>
        </w:rPr>
        <w:t>提升建筑工程品质的若干措施</w:t>
      </w:r>
    </w:p>
    <w:p w14:paraId="1BBAB9DC">
      <w:pPr>
        <w:suppressAutoHyphens/>
        <w:bidi w:val="0"/>
        <w:jc w:val="both"/>
        <w:rPr>
          <w:rFonts w:hint="eastAsia" w:ascii="仿宋_GB2312" w:hAnsi="仿宋_GB2312" w:eastAsia="仿宋_GB2312" w:cs="仿宋_GB2312"/>
          <w:b w:val="0"/>
          <w:bCs w:val="0"/>
          <w:sz w:val="32"/>
          <w:szCs w:val="32"/>
        </w:rPr>
      </w:pPr>
    </w:p>
    <w:p w14:paraId="41ECD357">
      <w:pPr>
        <w:suppressAutoHyphens/>
        <w:bidi w:val="0"/>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解决建筑工程质量管理面临的突出问题，进一步完善质量保障体系，不断提升建筑工程品质，根据《国务院办公厅转发住房城乡建设部关于完善质量保障体系提升建筑工程品质指导意见的通知》（国办函〔2019〕92）精神，结合我省实际，制定以下措施。</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1.突出建设单位首要责任。建设单位对建筑工程质量负首要责任，严格履行法定程序和项目法人责任制，不得违法违规发包工程，不得降低工程结构安全和使用功能，保证合理工期和造价，对工程质量终身负责。建立健全质量管理和信息公示制度，严格执行分户验收制度，主动公开工程竣工验收信息，在建筑物显著位置设置永久性标牌，接受社会监督。（省住房城乡建设厅、省发展改革委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2.落实施工单位主体责任。施工单位对建筑工程的施工质量负责，不得转包、违法分包工程，不得擅自修改工程设计，不得偷工减料。应完善质量管理体系，建立岗位责任制度，设置质量管理机构，配备专职质量负责人，加强全面质量管理。严格执行工程质量安全手册，实行工程质量管理标准化和建筑工人实名制管理。建立质量责任标识制度，对关键工序、关键部位隐蔽工程实施举牌验收，加强施工记录和验收资料管理，实现质量责任可追溯。（省住房城乡建设厅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3.严格监理单位质量监管责任。充分发挥监理单位在质量管理中的监督作用，严格对施工质量安全、建设工期、建设资金使用等方面实施监督。探索监理企业定期向质量监督机构报送质量监理情况模式。（省住房城乡建设厅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4.强化勘察检测单位质量责任。勘察、设计单位应按照工程建设强制性标准和合同要求进行勘察、设计，并对所编制的勘察、设计文件的质量负责。建筑工程质量检测机构应当按照有关法律法规、规章和标准开展检测活动，对其检测数据、检测结论和检测报告的真实性和准确性承担相应法律责任。（省住房城乡建设厅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5.明确房屋使用安全责任。房屋所有权人应承担房屋使用安全主体责任。房屋所有权人和使用人应正确使用和维护房屋，严禁擅自变动房屋建筑主体和承重结构，室内装饰装修应确保工程质量和安全。房屋所有权人及其委托的管理服务单位要定期对房屋安全进行检查，有效履行房屋维修保养义务，切实保证房屋使用安全。（省住房城乡建设厅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6.强化政府监管责任。各市、县人民政府应按照属地管理原则，强化对工程建设全过程的质量监管，履行监督职能所需经费纳入同级财政部门预算。要充实一线质量监督力量，发挥各级建设事业服务中心在质量监管中的技术支持和服务保障作用，配齐配强监管人员。鼓励采取政府购买服务方式，委托具有专业资质和相应能力的社会专业机构进行工程质量监督检查、抽测、评价和咨询。完善日常检查和抽查抽测相结合的质量监督检查制度，全面推行“双随机、一公开”检查方式和“互联网＋监管”等模式，提升工程质量监管规范化、信息化水平。加强对结构计算书的复核，提高建设工程设计结构整体安全、消防安全等水平。（省住房城乡建设厅、省发展改革委、省财政厅、省应急厅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7.改革工程建设组织模式。推行工程总承包，落实工程总承包单位在工程质量安全、进度控制、成本管理等方面的责任。政府和国有资金投资的项目，应带头推行工程总承包。完善专业分包制度，大力发展专业承包企业。及时跟踪全过程工程咨询和专业化服务的项目，总结经验完善政策。创新工程监理制度，严格落实工程咨询（投资）、勘察设计、监理、造价等领域职业资格人员的质量责任。在民用建筑工程中推进建筑师负责制，依据双方合同约定，赋予建筑师代表建设单位签发指令和认可工程的权利，明确建筑师应承担的责任。（省住房城乡建设厅、省发展改革委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8.规范工程招投标管理。完善招标人决策机制，落实招标人自主权。简化招标投标程序，取消不合理的投标报名等环节，推行招投标交易、服务、监管全流程电子化，有序推进远程异地评标。严格评标专家管理，完善评标专家考核评价机制，实行综合评标专家库动态和分级分类管理。依法严肃查处围标、串标和虚假招标等违法行为。加快诚信体系建设，健全综合与行业协同信用评价体系，完善信息化管理服务平台，强化守信激励和失信惩戒，强化招标主体责任追溯，扩大信用信息在招标投标环节的规范应用，强化标后合同履约监管。（省发展改革委、省住房城乡建设厅、省市场监督局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9.推行工程担保制度。推行工程担保公司保函和工程保证保险。建立双向担保制度，招标人要求中标人提供履约担保的，招标人应当同时向中标人提供工程款支付担保。对采取最低价中标的探索实行高保额履约担保。组织开展工程质量保险试点，加快发展工程质量保险，完善工程质量保修机制，防范和化解工程质量风险。（省住房城乡建设厅、省发展改革委、辽宁银保监局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10.加强工程设计建造管理。贯彻落实“适用、经济、绿色、美观”的建筑方针，指导制定符合城市地域特征的建筑设计导则。建立建筑“前策划、后评估”制度，完善建筑设计方案审查论证机制，提高建筑设计方案决策水平。加强住区设计管理，科学设计单体住宅户型，增强安全性、实用性、宜居性，提升住区环境质量。严禁政府投资项目超标准建设。严格控制超高层建筑建设，严格执行超限高层建筑工程抗震设防和特殊建设工程消防设计审查制度，加强超限高层建筑抗震、消防、节能等管理。（省住房城乡建设厅、省发展改革委、省工业和信息化厅、省应急厅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11.引导工程提质创优。加大对优秀企业、项目和个人的表彰力度，将企业质量安全情况纳入招标投标评审因素。（省住房城乡建设厅、省发展改革委、省人力资源社会保障厅、人民银行沈阳分行负责）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12.推行绿色建造方式。完善绿色建材产品标准和认证评价体系，推动绿色建材标识认证制度落实。鼓励政府投资工程、重点工程优先采用获得绿色产品认证的绿色建材产品。大力发展装配式建筑，推进绿色施工，通过先进技术和科学管理，降低施工过程对环境的不利影响。发展绿色建筑，建立健全绿色建筑标准体系，完善绿色建筑评价标识制度。（省住房城乡建设厅、省发展改革委、省工业和信息化厅、省市场监督局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13.合理保留利用既有建筑。推动开展老城区、老工业区保护更新，引导既有建筑改建设计创新，实施绿色化改造。依法保护和合理利用文物建筑。建立建筑拆除管理制度，不得随意拆除符合规划标准、在合理使用寿命内的公共建筑。开展公共建筑、工业建筑的更新改造利用试点示范。制定支持既有建筑保留和更新利用的消防、节能等相关配套政策和技术规程。（省住房城乡建设厅、省发展改革委、省工业和信息化厅、省应急厅、省文旅厅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14.完善工程建设标准体系。贯彻实施国家制定全文强制性工程建设规范，加强省内地方标准体系建设，推进重点领域工程建设地方标准的制定。增强地方标准与国家标准、行业标准的协调性，培育发展团体和企业标准，加快适应国际标准通行规则。加强工程建筑标准交流合作，推动一批中国标准向国际标准转化和推广应用。（省住房城乡建设厅、省市场监督局、省商务厅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15.加强建材质量管理。建立健全缺陷建材产品响应处理、信息共享和部门协同处理机制，落实建材生产单位和供应单位终身责任，规范建材市场秩序。强化建材生产企业严格执行建材放射性污染和其他对人体有害物质污染的强制性标准。强化预拌混凝土生产、运输、使用环节的质量管理，加大违规海砂使用治理，严防违规海砂流向建筑工程。鼓励企业建立装配式建筑部品部件生产和施工安装全过程质量控制体系，对装配式建筑部品部件实行驻厂监造制度。建立从生产到使用全过程的建材质量追溯机制，并将相关信息向社会公示。（省市场监督局、省住房城乡建设厅、省工业和信息化厅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16.提升科技创新能力。加大建筑业技术创新及研发投入，推进产学研用一体化，突破重点领域、关键共性技术开发应用。开展新技术应用示范工程评选，积极推广建筑业新技术应用。加大重大装备和数字化、智能化工程建设装备研发力度，全面提升工程装备技术水平。推进建筑信息模型（BIM）、大数据、移动互联网、云计算、物联网、人工智能等技术在设计、施工、运营维护全过程的集成应用，推广工程建设数字化成果交付与应用，提升建筑业信息化水平。积极推进“智慧工地”建设，提升质量安全信息化管理水平。开展城市信息模型（CIM）基础平台建设，推进CIM基础平台与工程建设项目审批管理系统的交互，提升审批效率。（省科技厅、省工业和信息化厅、省住房城乡建设厅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17.强化从业人员管理。加强建筑业从业人员职业教育，大力开展建筑工人职业技能培训，鼓励建立职业培训实训基地。加强职业技能鉴定站点建设，完善技能鉴定、职业技能等级认定等多元评价体系。推行建筑工人实名制管理，加快建筑工人管理服务信息平台建设，促进企业使用符合岗位要求的技能工人。建立健全与建筑业相适应的社会保险参保缴费方式，大力推进建筑施工单位参加工伤保险，保障建筑工人合法权益。（省住房城乡建设厅、省人力资源社会保障厅、省财政厅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18.推进信用信息平台建设。完善省级建筑市场监管公共服务平台，加强信息归集，健全违法违规行为记录制度，及时公示相关市场主体的行政许可、行政处罚、抽查检查结果等信息，并与国家企业信用信息公示系统、全国信用信息共享平台等实现数据共享交换。建立建筑市场主体不良行为分级管理制度，对违法违规的市场主体实施联合惩戒，将工程质量违法违规等记录作为企业信用评价的重要内容。（省住房城乡建设厅、省发展改革委、人民银行沈阳分行、省市场监督局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19.严格监管执法。加大建筑工程质量责任追究力度，强化工程质量终身责任落实，对违反有关规定、造成工程质量事故和严重质量问题的单位和个人依法严肃查处曝光，加大资质资格、从业限制等方面处罚力度。强化个人执业资格管理，对存在证书挂靠等违法违规行为的注册执业人员，依法给予暂扣、吊销资格证书直至终身禁止执业的处罚。（省住房城乡建设厅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20.规范工程质量投诉处理。建立完善建筑工程质量投诉和纠纷协调处理机制，明确工程质量投诉处理主体、受理范围、处理流程和办结时限等事项，依法、公正、及时、就地解决工程质量投诉问题，并定期向社会通报建筑工程质量投诉处理情况。（省住房城乡建设厅、省发展改革委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21.加强社会监督。建立建筑工程责任主体和责任人公示制度。企业须公开建筑工程项目质量信息，接受社会监督。探索建立建筑工程质量社会监督机制，支持社会公众参与监督、合理表达质量诉求。相关行业协会应完善行业约束与惩戒机制，加强行业自律。（省住房城乡建设厅、省发展改革委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22.强化督促指导。建立健全建筑工程质量管理、品质提升评价指标体系，科学评价各地执行工程质量法律法规和强制性标准、落实质量责任制度、质量保障体系建设、质量监督队伍建设、建筑质量发展、公众满意程度等方面状况，督促指导各地切实落实建筑工程质量管理各项工作措施。（省住房城乡建设厅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23.抓好组织实施。各级政府及各相关部门要高度重视完善质量保障体系和提升建筑工程品质工作，切实履行好工程质量监管责任，健全工作机制，细化工作措施，突出重点任务，确保各项工作部署落到实处。强化示范引领，鼓励有条件的地区积极开展试点，形成可复制、可推广的经验。加强舆论宣传引导，积极宣传各地的好经验、好做法，营造良好的社会氛围。</w:t>
      </w:r>
    </w:p>
    <w:p w14:paraId="032949E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3D9FFF6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7B18152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0CC6046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4C78A45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4DA9DE0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6E32C08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614EDB3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4FA578E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11F3277B">
      <w:pPr>
        <w:suppressAutoHyphens/>
        <w:bidi w:val="0"/>
        <w:jc w:val="center"/>
        <w:rPr>
          <w:rFonts w:hint="eastAsia" w:eastAsia="宋体"/>
          <w:b/>
          <w:bCs/>
          <w:sz w:val="44"/>
          <w:szCs w:val="44"/>
        </w:rPr>
      </w:pPr>
      <w:r>
        <w:rPr>
          <w:rFonts w:hint="eastAsia" w:eastAsia="宋体"/>
          <w:b/>
          <w:bCs/>
          <w:sz w:val="44"/>
          <w:szCs w:val="44"/>
        </w:rPr>
        <w:t>关于进一步做好市政基础设施工程</w:t>
      </w:r>
    </w:p>
    <w:p w14:paraId="6A7BF2B3">
      <w:pPr>
        <w:suppressAutoHyphens/>
        <w:bidi w:val="0"/>
        <w:jc w:val="center"/>
        <w:rPr>
          <w:rFonts w:hint="eastAsia" w:eastAsia="宋体"/>
          <w:b/>
          <w:bCs/>
          <w:sz w:val="44"/>
          <w:szCs w:val="44"/>
        </w:rPr>
      </w:pPr>
      <w:r>
        <w:rPr>
          <w:rFonts w:hint="eastAsia" w:eastAsia="宋体"/>
          <w:b/>
          <w:bCs/>
          <w:sz w:val="44"/>
          <w:szCs w:val="44"/>
        </w:rPr>
        <w:t>施工图审查工作的通知</w:t>
      </w:r>
    </w:p>
    <w:p w14:paraId="21A16B56">
      <w:pPr>
        <w:suppressAutoHyphens/>
        <w:bidi w:val="0"/>
        <w:spacing w:line="560" w:lineRule="exact"/>
        <w:ind w:firstLine="640" w:firstLineChars="200"/>
        <w:rPr>
          <w:rFonts w:hint="eastAsia" w:ascii="仿宋_GB2312" w:hAnsi="仿宋_GB2312" w:eastAsia="仿宋_GB2312" w:cs="仿宋_GB2312"/>
          <w:sz w:val="32"/>
          <w:szCs w:val="40"/>
          <w:lang w:val="en-US" w:eastAsia="zh-CN"/>
        </w:rPr>
      </w:pPr>
    </w:p>
    <w:p w14:paraId="447C4670">
      <w:pPr>
        <w:suppressAutoHyphens/>
        <w:bidi w:val="0"/>
        <w:spacing w:line="560" w:lineRule="exact"/>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（辽住建〔2017〕17号，</w:t>
      </w:r>
      <w:r>
        <w:rPr>
          <w:rFonts w:hint="eastAsia" w:ascii="仿宋_GB2312" w:hAnsi="仿宋_GB2312" w:eastAsia="仿宋_GB2312" w:cs="仿宋_GB2312"/>
          <w:sz w:val="32"/>
          <w:szCs w:val="40"/>
          <w:lang w:eastAsia="zh-CN"/>
        </w:rPr>
        <w:t>根据</w:t>
      </w:r>
      <w:r>
        <w:rPr>
          <w:rFonts w:hint="eastAsia" w:ascii="仿宋_GB2312" w:hAnsi="仿宋_GB2312" w:eastAsia="仿宋_GB2312" w:cs="仿宋_GB2312"/>
          <w:sz w:val="32"/>
          <w:szCs w:val="40"/>
          <w:lang w:val="en-US" w:eastAsia="zh-CN"/>
        </w:rPr>
        <w:t>2026年3月6日</w:t>
      </w:r>
      <w:r>
        <w:rPr>
          <w:rFonts w:hint="eastAsia" w:ascii="仿宋_GB2312" w:hAnsi="仿宋_GB2312" w:eastAsia="仿宋_GB2312" w:cs="仿宋_GB2312"/>
          <w:sz w:val="32"/>
          <w:szCs w:val="40"/>
          <w:lang w:eastAsia="zh-CN"/>
        </w:rPr>
        <w:t>辽住建〔202</w:t>
      </w: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3</w:t>
      </w:r>
      <w:r>
        <w:rPr>
          <w:rFonts w:hint="default"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lang w:eastAsia="zh-CN"/>
        </w:rPr>
        <w:t>号</w:t>
      </w:r>
      <w:r>
        <w:rPr>
          <w:rFonts w:hint="eastAsia" w:ascii="仿宋_GB2312" w:hAnsi="仿宋_GB2312" w:eastAsia="仿宋_GB2312" w:cs="仿宋_GB2312"/>
          <w:sz w:val="32"/>
          <w:szCs w:val="40"/>
          <w:lang w:val="en-US" w:eastAsia="zh-CN"/>
        </w:rPr>
        <w:t>修改。）</w:t>
      </w:r>
    </w:p>
    <w:p w14:paraId="2E07CE17">
      <w:pPr>
        <w:suppressAutoHyphens/>
        <w:bidi w:val="0"/>
        <w:jc w:val="both"/>
        <w:rPr>
          <w:rFonts w:hint="eastAsia" w:eastAsia="宋体"/>
          <w:b/>
          <w:bCs/>
          <w:sz w:val="44"/>
          <w:szCs w:val="44"/>
        </w:rPr>
      </w:pPr>
    </w:p>
    <w:p w14:paraId="5A318F8A">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各市建委、城建局：</w:t>
      </w:r>
    </w:p>
    <w:p w14:paraId="7A93DE6F">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为进一步做好市政基础设施工程施工图审查工作，扩大市政工程审图覆盖面，保证市政工程设计质量，按照《房屋建筑和市政基础设施工程施工图设计文件审查管理办法》（住建部令第13号）及有关规定，结合我省实际情况，现就有关问题通知如下：</w:t>
      </w:r>
    </w:p>
    <w:p w14:paraId="4CBF604F">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一、明确审查范围。凡市政行业下列类型的各规模等级设计项目（以住建部2007年颁布的《工程设计资质标准》中市政行业建设项目的设计规模划分为准）均应进行施工图审查：</w:t>
      </w:r>
    </w:p>
    <w:p w14:paraId="4FBD5D85">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1、给水工程：包括净水厂、管网；</w:t>
      </w:r>
    </w:p>
    <w:p w14:paraId="6473E409">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2、排水工程：包括处理厂、管网；</w:t>
      </w:r>
    </w:p>
    <w:p w14:paraId="146DC56A">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3、燃气工程：包括城市燃气输配系统、人工气源厂(含燃气汽车加气站)、城市液化石油气储备站；</w:t>
      </w:r>
    </w:p>
    <w:p w14:paraId="411CF038">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4、热力工程：包括热源厂、热网系统；</w:t>
      </w:r>
    </w:p>
    <w:p w14:paraId="243139FA">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5、道路工程；</w:t>
      </w:r>
    </w:p>
    <w:p w14:paraId="745416B3">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6、桥梁工程；</w:t>
      </w:r>
    </w:p>
    <w:p w14:paraId="765207E5">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7、城市隧道工程；</w:t>
      </w:r>
    </w:p>
    <w:p w14:paraId="61981E51">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8、公共交通工程：包括快速公交系统（BRT）、电车系统、公共交通专用道、公共场站、公交枢纽；</w:t>
      </w:r>
    </w:p>
    <w:p w14:paraId="19A17165">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9、轨道交通工程；</w:t>
      </w:r>
    </w:p>
    <w:p w14:paraId="2DC0893A">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10、环境卫生工程：包括生活垃圾焚烧（含热能利用）、卫生填埋、堆（制）肥、垃圾处理（包括生活垃圾处理、建筑垃圾处理或利用、垃圾渗滤液处理）、转运站、危险废弃物处理、医疗废弃物处理、畜禽养殖业废弃物处理、市政污水厂污泥处理、一般工业固体废物处理与利用；</w:t>
      </w:r>
    </w:p>
    <w:p w14:paraId="7E65C52F">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11、风景园林工程；</w:t>
      </w:r>
    </w:p>
    <w:p w14:paraId="4601B004">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12、城市地下综合管廊工程等。</w:t>
      </w:r>
    </w:p>
    <w:p w14:paraId="2E70F96F">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二、细化审查机构人员配备要求。为更好地指导现有施工图审查机构申请市政工程施工图审查资格增项或升级，提高审查能力，将住建部13号令第七、八条对审查人员专业和数量的配备要求进行细化，具体要求见附件。</w:t>
      </w:r>
    </w:p>
    <w:p w14:paraId="2119B0F0">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已有房建审查资格的审查机构申请市政审查资格增项时，建筑、结构、给排水、暖通、电气、勘察等专业的人员可以重复使用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审查机构也可以聘用兼职审查人员，但兼职审查人员数量不应超过各专业及总人数要求的一半，且从事兼职审查工作须经其所在单位书面同意。</w:t>
      </w:r>
    </w:p>
    <w:p w14:paraId="6FEE728D">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三、试行联合审图制度。为扩大市政工程审图覆盖面，工程所在地现有审查机构的审查范围或级别不满足市政工程审图需要时，市建设行政主管部门可以委托省内其他城市符合资格的审查机构进行审查，也可以委托本地审查机构与具备相应审查能力的其他审查机构进行联合审图。工程所在地审查机构负责政策性审查，将相关数据信息录入管理系统，并出具审查合格书；与其联合审图的审查机构负责技术性审查，出具审查意见书，并在审查合格书上并列加盖机构审查专用章。工程所在地市建设行政主管部门负责审查合格书的备案。本地审查机构应在联合审图过程中加强学习，充实审查人员，不断提高审查能力。</w:t>
      </w:r>
    </w:p>
    <w:p w14:paraId="19192CBE">
      <w:pPr>
        <w:suppressAutoHyphens/>
        <w:bidi w:val="0"/>
        <w:jc w:val="both"/>
        <w:rPr>
          <w:rFonts w:hint="eastAsia" w:ascii="仿宋_GB2312" w:hAnsi="仿宋_GB2312" w:eastAsia="仿宋_GB2312" w:cs="仿宋_GB2312"/>
          <w:b w:val="0"/>
          <w:bCs w:val="0"/>
          <w:sz w:val="32"/>
          <w:szCs w:val="32"/>
          <w:highlight w:val="yellow"/>
        </w:rPr>
      </w:pPr>
      <w:r>
        <w:rPr>
          <w:rFonts w:hint="eastAsia" w:ascii="仿宋_GB2312" w:hAnsi="仿宋_GB2312" w:eastAsia="仿宋_GB2312" w:cs="仿宋_GB2312"/>
          <w:b w:val="0"/>
          <w:bCs w:val="0"/>
          <w:sz w:val="32"/>
          <w:szCs w:val="32"/>
        </w:rPr>
        <w:t xml:space="preserve">    四、做好城市地下综合管廊工程的审图工作。地下综合管廊工程的各类入廊管线（包括电力管线、通信管线）可以和地下廊体部分一并送审，也可以按工程进度分别送审，但必须由同一家审查机构审查。</w:t>
      </w:r>
    </w:p>
    <w:p w14:paraId="1740F8B2">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以上审查机构在承担具体审查项目时，如本审查机构没有入廊管线涉及专业的审查人员，可以临时聘用省内外勘察设计企业中符合条件的技术人员参与审查（不需要进行审查人员资格认证，但应将其基本信息留存备案，并在审查意见书中注明）。</w:t>
      </w:r>
    </w:p>
    <w:p w14:paraId="58657D74">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五、严格市政公用设施抗震专项论证把关工作。凡按照《关于进一步加强市政公用设施抗震专项论证工作的通知》（辽住建〔2016〕78号）要求，应进行抗震专项论证而未进行论证或未按上述文件要求进行论证的市政公用设施工程项目，施工图设计文件一律不予审查；进行了抗震专项论证但施工图设计未执行专项论证意见的项目，施工图审查一律不予通过，施工图审查合格书不予备案。</w:t>
      </w:r>
    </w:p>
    <w:p w14:paraId="46481767">
      <w:pPr>
        <w:suppressAutoHyphens/>
        <w:bidi w:val="0"/>
        <w:jc w:val="both"/>
        <w:rPr>
          <w:rFonts w:hint="eastAsia" w:ascii="仿宋_GB2312" w:hAnsi="仿宋_GB2312" w:eastAsia="仿宋_GB2312" w:cs="仿宋_GB2312"/>
          <w:b w:val="0"/>
          <w:bCs w:val="0"/>
          <w:sz w:val="32"/>
          <w:szCs w:val="32"/>
        </w:rPr>
      </w:pPr>
    </w:p>
    <w:p w14:paraId="2865C481">
      <w:pPr>
        <w:suppressAutoHyphens/>
        <w:bidi w:val="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 xml:space="preserve">    附件：</w:t>
      </w:r>
      <w:r>
        <w:rPr>
          <w:rFonts w:hint="eastAsia" w:ascii="仿宋_GB2312" w:hAnsi="仿宋_GB2312" w:eastAsia="仿宋_GB2312" w:cs="仿宋_GB2312"/>
          <w:b w:val="0"/>
          <w:bCs w:val="0"/>
          <w:sz w:val="32"/>
          <w:szCs w:val="32"/>
          <w:lang w:eastAsia="zh-CN"/>
        </w:rPr>
        <w:t>略。</w:t>
      </w:r>
    </w:p>
    <w:p w14:paraId="331F5D12">
      <w:pPr>
        <w:suppressAutoHyphens/>
        <w:bidi w:val="0"/>
        <w:jc w:val="center"/>
        <w:rPr>
          <w:rFonts w:hint="eastAsia" w:eastAsia="宋体"/>
          <w:b/>
          <w:bCs/>
          <w:sz w:val="44"/>
          <w:szCs w:val="44"/>
        </w:rPr>
      </w:pPr>
      <w:r>
        <w:rPr>
          <w:rFonts w:hint="eastAsia" w:ascii="仿宋_GB2312" w:hAnsi="仿宋_GB2312" w:eastAsia="仿宋_GB2312" w:cs="仿宋_GB2312"/>
          <w:i w:val="0"/>
          <w:iCs w:val="0"/>
          <w:caps w:val="0"/>
          <w:color w:val="000000"/>
          <w:spacing w:val="0"/>
          <w:sz w:val="32"/>
          <w:szCs w:val="32"/>
          <w:shd w:val="clear" w:color="auto" w:fill="FFFFFF"/>
        </w:rPr>
        <w:br w:type="page"/>
      </w:r>
      <w:r>
        <w:rPr>
          <w:rFonts w:hint="eastAsia" w:eastAsia="宋体"/>
          <w:b/>
          <w:bCs/>
          <w:sz w:val="44"/>
          <w:szCs w:val="44"/>
        </w:rPr>
        <w:t>关于印发《辽宁省工程勘察设计</w:t>
      </w:r>
    </w:p>
    <w:p w14:paraId="2C24D572">
      <w:pPr>
        <w:suppressAutoHyphens/>
        <w:bidi w:val="0"/>
        <w:jc w:val="center"/>
        <w:rPr>
          <w:rFonts w:hint="eastAsia" w:eastAsia="宋体"/>
          <w:b/>
          <w:bCs/>
          <w:sz w:val="44"/>
          <w:szCs w:val="44"/>
        </w:rPr>
      </w:pPr>
      <w:r>
        <w:rPr>
          <w:rFonts w:hint="eastAsia" w:eastAsia="宋体"/>
          <w:b/>
          <w:bCs/>
          <w:sz w:val="44"/>
          <w:szCs w:val="44"/>
        </w:rPr>
        <w:t>项目备案实施办法》的通知</w:t>
      </w:r>
    </w:p>
    <w:p w14:paraId="4F213E13">
      <w:pPr>
        <w:suppressAutoHyphens/>
        <w:bidi w:val="0"/>
        <w:spacing w:line="560" w:lineRule="exact"/>
        <w:ind w:firstLine="640" w:firstLineChars="200"/>
        <w:rPr>
          <w:rFonts w:hint="eastAsia" w:ascii="仿宋_GB2312" w:hAnsi="仿宋_GB2312" w:eastAsia="仿宋_GB2312" w:cs="仿宋_GB2312"/>
          <w:sz w:val="32"/>
          <w:szCs w:val="40"/>
          <w:lang w:val="en-US" w:eastAsia="zh-CN"/>
        </w:rPr>
      </w:pPr>
    </w:p>
    <w:p w14:paraId="6F9F6712">
      <w:pPr>
        <w:suppressAutoHyphens/>
        <w:bidi w:val="0"/>
        <w:spacing w:line="560" w:lineRule="exact"/>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（辽住建发〔2015〕6号，</w:t>
      </w:r>
      <w:r>
        <w:rPr>
          <w:rFonts w:hint="eastAsia" w:ascii="仿宋_GB2312" w:hAnsi="仿宋_GB2312" w:eastAsia="仿宋_GB2312" w:cs="仿宋_GB2312"/>
          <w:sz w:val="32"/>
          <w:szCs w:val="40"/>
          <w:lang w:eastAsia="zh-CN"/>
        </w:rPr>
        <w:t>根据</w:t>
      </w:r>
      <w:r>
        <w:rPr>
          <w:rFonts w:hint="eastAsia" w:ascii="仿宋_GB2312" w:hAnsi="仿宋_GB2312" w:eastAsia="仿宋_GB2312" w:cs="仿宋_GB2312"/>
          <w:sz w:val="32"/>
          <w:szCs w:val="40"/>
          <w:lang w:val="en-US" w:eastAsia="zh-CN"/>
        </w:rPr>
        <w:t>2026年3月6日</w:t>
      </w:r>
      <w:r>
        <w:rPr>
          <w:rFonts w:hint="eastAsia" w:ascii="仿宋_GB2312" w:hAnsi="仿宋_GB2312" w:eastAsia="仿宋_GB2312" w:cs="仿宋_GB2312"/>
          <w:sz w:val="32"/>
          <w:szCs w:val="40"/>
          <w:lang w:eastAsia="zh-CN"/>
        </w:rPr>
        <w:t>辽住建〔202</w:t>
      </w: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3</w:t>
      </w:r>
      <w:r>
        <w:rPr>
          <w:rFonts w:hint="default"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lang w:eastAsia="zh-CN"/>
        </w:rPr>
        <w:t>号</w:t>
      </w:r>
      <w:r>
        <w:rPr>
          <w:rFonts w:hint="eastAsia" w:ascii="仿宋_GB2312" w:hAnsi="仿宋_GB2312" w:eastAsia="仿宋_GB2312" w:cs="仿宋_GB2312"/>
          <w:sz w:val="32"/>
          <w:szCs w:val="40"/>
          <w:lang w:val="en-US" w:eastAsia="zh-CN"/>
        </w:rPr>
        <w:t>修改。）</w:t>
      </w:r>
    </w:p>
    <w:p w14:paraId="776AF53D">
      <w:pPr>
        <w:suppressAutoHyphens/>
        <w:bidi w:val="0"/>
        <w:jc w:val="both"/>
        <w:rPr>
          <w:rFonts w:hint="eastAsia" w:ascii="仿宋_GB2312" w:hAnsi="仿宋_GB2312" w:eastAsia="仿宋_GB2312" w:cs="仿宋_GB2312"/>
          <w:b w:val="0"/>
          <w:bCs w:val="0"/>
          <w:sz w:val="32"/>
          <w:szCs w:val="32"/>
        </w:rPr>
      </w:pPr>
    </w:p>
    <w:p w14:paraId="491483D6">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各市、绥中、昌图县建委：</w:t>
      </w:r>
    </w:p>
    <w:p w14:paraId="29469ABF">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现将《辽宁省工程勘察设计项目备案实施办法》印发给你们，自2015年5月1日起执行。省外勘察设计企业不需再办理原来的外埠入辽备案手续。</w:t>
      </w:r>
    </w:p>
    <w:p w14:paraId="3A1E8792">
      <w:pPr>
        <w:suppressAutoHyphens/>
        <w:bidi w:val="0"/>
        <w:jc w:val="both"/>
        <w:rPr>
          <w:rFonts w:hint="eastAsia" w:ascii="仿宋_GB2312" w:hAnsi="仿宋_GB2312" w:eastAsia="仿宋_GB2312" w:cs="仿宋_GB2312"/>
          <w:b w:val="0"/>
          <w:bCs w:val="0"/>
          <w:sz w:val="32"/>
          <w:szCs w:val="32"/>
        </w:rPr>
      </w:pPr>
    </w:p>
    <w:p w14:paraId="180414A9">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p>
    <w:p w14:paraId="3DA3F6CC">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辽宁省住房和城乡建设厅</w:t>
      </w:r>
    </w:p>
    <w:p w14:paraId="061B5062">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2015年4月22日</w:t>
      </w:r>
    </w:p>
    <w:p w14:paraId="0D8B085D">
      <w:pPr>
        <w:suppressAutoHyphens/>
        <w:bidi w:val="0"/>
        <w:rPr>
          <w:rFonts w:hint="eastAsia" w:ascii="仿宋_GB2312" w:hAnsi="仿宋_GB2312" w:eastAsia="仿宋_GB2312" w:cs="仿宋_GB2312"/>
          <w:b w:val="0"/>
          <w:bCs w:val="0"/>
          <w:sz w:val="32"/>
          <w:szCs w:val="32"/>
        </w:rPr>
      </w:pPr>
    </w:p>
    <w:p w14:paraId="37ACEAD6">
      <w:pPr>
        <w:suppressAutoHyphens/>
        <w:bidi w:val="0"/>
        <w:rPr>
          <w:rFonts w:hint="eastAsia" w:ascii="仿宋_GB2312" w:hAnsi="仿宋_GB2312" w:eastAsia="仿宋_GB2312" w:cs="仿宋_GB2312"/>
          <w:b w:val="0"/>
          <w:bCs w:val="0"/>
          <w:sz w:val="32"/>
          <w:szCs w:val="32"/>
        </w:rPr>
      </w:pPr>
    </w:p>
    <w:p w14:paraId="3E207051">
      <w:pPr>
        <w:suppressAutoHyphens/>
        <w:bidi w:val="0"/>
        <w:rPr>
          <w:rFonts w:hint="eastAsia" w:ascii="仿宋_GB2312" w:hAnsi="仿宋_GB2312" w:eastAsia="仿宋_GB2312" w:cs="仿宋_GB2312"/>
          <w:b w:val="0"/>
          <w:bCs w:val="0"/>
          <w:sz w:val="32"/>
          <w:szCs w:val="32"/>
        </w:rPr>
      </w:pPr>
    </w:p>
    <w:p w14:paraId="3D5C54DE">
      <w:pPr>
        <w:suppressAutoHyphens/>
        <w:bidi w:val="0"/>
        <w:rPr>
          <w:rFonts w:hint="eastAsia" w:ascii="仿宋_GB2312" w:hAnsi="仿宋_GB2312" w:eastAsia="仿宋_GB2312" w:cs="仿宋_GB2312"/>
          <w:b w:val="0"/>
          <w:bCs w:val="0"/>
          <w:sz w:val="32"/>
          <w:szCs w:val="32"/>
        </w:rPr>
      </w:pPr>
    </w:p>
    <w:p w14:paraId="5B656821">
      <w:pPr>
        <w:suppressAutoHyphens/>
        <w:bidi w:val="0"/>
        <w:rPr>
          <w:rFonts w:hint="eastAsia" w:ascii="仿宋_GB2312" w:hAnsi="仿宋_GB2312" w:eastAsia="仿宋_GB2312" w:cs="仿宋_GB2312"/>
          <w:b w:val="0"/>
          <w:bCs w:val="0"/>
          <w:sz w:val="32"/>
          <w:szCs w:val="32"/>
        </w:rPr>
      </w:pPr>
    </w:p>
    <w:p w14:paraId="3E13AD64">
      <w:pPr>
        <w:suppressAutoHyphens/>
        <w:bidi w:val="0"/>
        <w:rPr>
          <w:rFonts w:hint="eastAsia" w:ascii="仿宋_GB2312" w:hAnsi="仿宋_GB2312" w:eastAsia="仿宋_GB2312" w:cs="仿宋_GB2312"/>
          <w:b w:val="0"/>
          <w:bCs w:val="0"/>
          <w:sz w:val="32"/>
          <w:szCs w:val="32"/>
        </w:rPr>
      </w:pPr>
    </w:p>
    <w:p w14:paraId="5B82158E">
      <w:pPr>
        <w:suppressAutoHyphens/>
        <w:bidi w:val="0"/>
        <w:rPr>
          <w:rFonts w:hint="eastAsia" w:ascii="仿宋_GB2312" w:hAnsi="仿宋_GB2312" w:eastAsia="仿宋_GB2312" w:cs="仿宋_GB2312"/>
          <w:b w:val="0"/>
          <w:bCs w:val="0"/>
          <w:sz w:val="32"/>
          <w:szCs w:val="32"/>
        </w:rPr>
      </w:pPr>
    </w:p>
    <w:p w14:paraId="16AD6A50">
      <w:pPr>
        <w:suppressAutoHyphens/>
        <w:bidi w:val="0"/>
        <w:rPr>
          <w:rFonts w:hint="eastAsia" w:ascii="仿宋_GB2312" w:hAnsi="仿宋_GB2312" w:eastAsia="仿宋_GB2312" w:cs="仿宋_GB2312"/>
          <w:b w:val="0"/>
          <w:bCs w:val="0"/>
          <w:sz w:val="32"/>
          <w:szCs w:val="32"/>
        </w:rPr>
      </w:pPr>
    </w:p>
    <w:p w14:paraId="344B906E">
      <w:pPr>
        <w:suppressAutoHyphens/>
        <w:bidi w:val="0"/>
        <w:jc w:val="center"/>
        <w:rPr>
          <w:rFonts w:hint="eastAsia" w:eastAsia="宋体"/>
          <w:b/>
          <w:bCs/>
          <w:sz w:val="44"/>
          <w:szCs w:val="44"/>
        </w:rPr>
      </w:pPr>
      <w:r>
        <w:rPr>
          <w:rFonts w:hint="eastAsia" w:eastAsia="宋体"/>
          <w:b/>
          <w:bCs/>
          <w:sz w:val="44"/>
          <w:szCs w:val="44"/>
        </w:rPr>
        <w:t>辽宁省工程勘察设计项目备案实施办法</w:t>
      </w:r>
    </w:p>
    <w:p w14:paraId="29F8D487">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p>
    <w:p w14:paraId="0E0AB321">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第一条  为加强工程勘察设计市场监管，落实勘察设计企业及人员的质量责任，保证建设工程质量，依据《辽宁省工程勘察设计市场管理规定》，制定本办法。</w:t>
      </w:r>
    </w:p>
    <w:p w14:paraId="608BFB43">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第二条  工程勘察设计合同签订后，工程勘察设计企业必须到工程项目所在地市建设行政主管部门办理工程勘察设计项目备案手续。</w:t>
      </w:r>
    </w:p>
    <w:p w14:paraId="12B9554A">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第三条  本办法的工程勘察设计项目，包括工程勘察设计企业持工程勘察设计资质证书在我省行政区域内承接的所有工程勘察和工程设计项目。工程勘察设计项目备案，包括单位信息登记和项目合同备案（以下称“合同备案”）。</w:t>
      </w:r>
    </w:p>
    <w:p w14:paraId="766CD958">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第四条  省内勘察设计企业的单位信息登记结合辽宁省勘察设计信息网“勘察设计企业管理系统”和“设计施工一体化企业管理系统”的年度数据库更新自动办理。未按要求进行年度数据库更新企业的名单由省厅统一公布。</w:t>
      </w:r>
    </w:p>
    <w:p w14:paraId="5E9BDAD9">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第五条  省外勘察设计企业的单位信息登记在当年首次进入项目所在市时办理，当年度有效。次年再次办理时，不需重复提供上次单位信息登记时已经提供过的材料。</w:t>
      </w:r>
    </w:p>
    <w:p w14:paraId="3F7A1726">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企业资质证书有效期截至当年12月31日前的，登记有效期至资质证书有效期结束。经资质许可机关延续后，企业可持新的资质证书到登记部门延续登记有效期至当年年底。</w:t>
      </w:r>
    </w:p>
    <w:p w14:paraId="2949171B">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第六条  企业在办理单位信息登记时应提供以下材料：</w:t>
      </w:r>
    </w:p>
    <w:p w14:paraId="572F5851">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1、《勘察设计企业单位信息登记表》（见附件）一式3份（登记完成后市建设行政主管部门、勘察设计企业各1份，企业在登记后首次报送施工图审查时提供给审图机构1份）；</w:t>
      </w:r>
    </w:p>
    <w:p w14:paraId="440EE472">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2、企业工商营业执照和全部勘察设计资质证书副本原件及复印件（查验原件、留复印件，下同）；</w:t>
      </w:r>
    </w:p>
    <w:p w14:paraId="0DC0C0B4">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拟在勘察设计文件上签字盖章的注册人员和各专业负责人、设计人的身份证复印件、注册证或职称证的原件及复印件（注册证复印件需加盖注册印章鲜章）；近一个月社保证明（加盖社保部门鲜章）；本人签字原件。</w:t>
      </w:r>
    </w:p>
    <w:p w14:paraId="7EDA3075">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第七条  企业在办理单位信息登记时提供虚假材料的，市建设行政主管部门可以不予登记，记入不良记录，并且三个月内不再受理其重新登记。</w:t>
      </w:r>
    </w:p>
    <w:p w14:paraId="5B2040A5">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第八条  企业在完成单位信息登记后方能办理合同备案。合同备案应在合同签订后15个工作日内申请办理。</w:t>
      </w:r>
    </w:p>
    <w:p w14:paraId="083C197D">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第九条  企业在办理合同备案应提供以下材料：</w:t>
      </w:r>
    </w:p>
    <w:p w14:paraId="72C82D41">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1、市建设行政主管部门盖章的《勘察设计企业单位信息登记表》复印件（省内企业不需提供）；</w:t>
      </w:r>
    </w:p>
    <w:p w14:paraId="6286ED29">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2、勘察设计项目负责人法人授权书原件及复印件；                                                                                                              </w:t>
      </w:r>
    </w:p>
    <w:p w14:paraId="624DDD94">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3、工程勘察、工程设计合同的原件及复印件（合同的主要内容使用中华人民共和国建设部和国家工商行政管理局联合监制的示范文本（2000年版））；</w:t>
      </w:r>
    </w:p>
    <w:p w14:paraId="0B63944D">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4、依法应招标项目应提供中标通知书、直接委托项目应提供立项批准文件和项目委托书原件及复印件；</w:t>
      </w:r>
    </w:p>
    <w:p w14:paraId="66353931">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5、单位信息登记后变化的信息，以及新增加勘察设计人员的身份证复印件、注册证或职称证的原件及复印件（注册证复印件需加盖注册印章鲜章）；近一个月社保证明（加盖社保部门鲜章）；本人签字原件。</w:t>
      </w:r>
    </w:p>
    <w:p w14:paraId="544ED4AC">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市建设行政主管部门在办理企业信息登记时收集的第六条第3款信息，以及办理合同备案时收集的本条第5款信息应与审图机构共享，企业在报送施工图审查时不需重复提供。</w:t>
      </w:r>
    </w:p>
    <w:p w14:paraId="2643559A">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第十条  合同备案材料经市建设行政主管部门审查符合要求后，发给合同备案号（用明显字符标注于合同封面右上角，编号规则为“KCSJHT+市别+年度+流水号”，市别按沈阳01、大连02、鞍山03、抚顺04、本溪05、丹东06、锦州07、营口08、阜新09、辽阳10、铁岭11、朝阳12、盘锦13、葫芦岛14代替，年度为2015或2016等，流水号为5位阿拉伯数字），并逐页加盖合同备案专用章（“XX市工程勘察设计项目合同备案专用章”，外径42毫米圆章，各市自行制作）。委托双方如签订补充合同，补充合同也须履行备案手续。补充合同备案号与原合同备案号一致，另加后缀“补1”或“补2”等。                                  </w:t>
      </w:r>
    </w:p>
    <w:p w14:paraId="002A2F63">
      <w:pPr>
        <w:suppressAutoHyphens/>
        <w:bidi w:val="0"/>
        <w:jc w:val="both"/>
        <w:rPr>
          <w:rFonts w:hint="eastAsia" w:ascii="仿宋_GB2312" w:hAnsi="仿宋_GB2312" w:eastAsia="仿宋_GB2312" w:cs="仿宋_GB2312"/>
          <w:b w:val="0"/>
          <w:bCs w:val="0"/>
          <w:sz w:val="32"/>
          <w:szCs w:val="32"/>
        </w:rPr>
      </w:pPr>
    </w:p>
    <w:p w14:paraId="701D1331">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第十一条  企业提供的材料不齐全或有下列情况之一的，勘察设计合同不予备案：</w:t>
      </w:r>
    </w:p>
    <w:p w14:paraId="63F56A99">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（一）企业超出勘察设计资质等级、范围承接业务的；</w:t>
      </w:r>
    </w:p>
    <w:p w14:paraId="2B4FF8DC">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（二）企业资质、设计人员等信息与省厅信息库或单位信息登记时提供的内容不一致且未办理变更的；</w:t>
      </w:r>
    </w:p>
    <w:p w14:paraId="5874DF98">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（三）备案项目依法应该招投标而未履行招投标的；</w:t>
      </w:r>
    </w:p>
    <w:p w14:paraId="1DAEB1E4">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（四）勘察设计合同约定的服务项目、服务内容、服务质量、服务计价违反法律法规和国家、行业有关标准规范的；</w:t>
      </w:r>
    </w:p>
    <w:p w14:paraId="22B06185">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（五）企业在国家、省、市不良行为惩戒期内承接业务的；</w:t>
      </w:r>
    </w:p>
    <w:p w14:paraId="14031F79">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（六）其他不符合国家法律法规规定的。</w:t>
      </w:r>
    </w:p>
    <w:p w14:paraId="2D776CD1">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第十二条  企业在施工图送审时，应提供经市建设行政主管部门备案的勘察设计合同。勘察设计合同的签订日期和施工图审查的送审日期应符合合理的设计周期，否则视为未及时办理合同备案。</w:t>
      </w:r>
    </w:p>
    <w:p w14:paraId="752D4FCD">
      <w:pPr>
        <w:suppressAutoHyphens/>
        <w:bidi w:val="0"/>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第十三条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企业提供材料齐全、准确的，单位信息登记应在7个工作日内完成，合同备案应在5个工作日内完成。</w:t>
      </w:r>
      <w:r>
        <w:rPr>
          <w:rFonts w:hint="eastAsia" w:ascii="仿宋_GB2312" w:hAnsi="仿宋_GB2312" w:eastAsia="仿宋_GB2312" w:cs="仿宋_GB2312"/>
          <w:b w:val="0"/>
          <w:bCs w:val="0"/>
          <w:sz w:val="32"/>
          <w:szCs w:val="32"/>
          <w:lang w:val="en-US" w:eastAsia="zh-CN"/>
        </w:rPr>
        <w:t xml:space="preserve">      </w:t>
      </w:r>
    </w:p>
    <w:p w14:paraId="1E70A4EE">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w:t>
      </w:r>
      <w:r>
        <w:rPr>
          <w:rFonts w:hint="eastAsia" w:ascii="仿宋_GB2312" w:hAnsi="仿宋_GB2312" w:eastAsia="仿宋_GB2312" w:cs="仿宋_GB2312"/>
          <w:b w:val="0"/>
          <w:bCs w:val="0"/>
          <w:sz w:val="32"/>
          <w:szCs w:val="32"/>
          <w:lang w:eastAsia="zh-CN"/>
        </w:rPr>
        <w:t>四</w:t>
      </w:r>
      <w:r>
        <w:rPr>
          <w:rFonts w:hint="eastAsia" w:ascii="仿宋_GB2312" w:hAnsi="仿宋_GB2312" w:eastAsia="仿宋_GB2312" w:cs="仿宋_GB2312"/>
          <w:b w:val="0"/>
          <w:bCs w:val="0"/>
          <w:sz w:val="32"/>
          <w:szCs w:val="32"/>
        </w:rPr>
        <w:t>条  单位信息登记和合同备案均不得收费。</w:t>
      </w:r>
    </w:p>
    <w:p w14:paraId="3613D8A4">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w:t>
      </w:r>
      <w:r>
        <w:rPr>
          <w:rFonts w:hint="eastAsia" w:ascii="仿宋_GB2312" w:hAnsi="仿宋_GB2312" w:eastAsia="仿宋_GB2312" w:cs="仿宋_GB2312"/>
          <w:b w:val="0"/>
          <w:bCs w:val="0"/>
          <w:sz w:val="32"/>
          <w:szCs w:val="32"/>
          <w:lang w:eastAsia="zh-CN"/>
        </w:rPr>
        <w:t>五</w:t>
      </w:r>
      <w:r>
        <w:rPr>
          <w:rFonts w:hint="eastAsia" w:ascii="仿宋_GB2312" w:hAnsi="仿宋_GB2312" w:eastAsia="仿宋_GB2312" w:cs="仿宋_GB2312"/>
          <w:b w:val="0"/>
          <w:bCs w:val="0"/>
          <w:sz w:val="32"/>
          <w:szCs w:val="32"/>
        </w:rPr>
        <w:t>条  本办法由省住房和城乡建设厅负责解释，自2015年5月1日起施行。</w:t>
      </w:r>
    </w:p>
    <w:p w14:paraId="2BE64BD1">
      <w:pPr>
        <w:suppressAutoHyphens/>
        <w:bidi w:val="0"/>
        <w:jc w:val="both"/>
        <w:rPr>
          <w:rFonts w:hint="eastAsia" w:ascii="仿宋_GB2312" w:hAnsi="仿宋_GB2312" w:eastAsia="仿宋_GB2312" w:cs="仿宋_GB2312"/>
          <w:b w:val="0"/>
          <w:bCs w:val="0"/>
          <w:sz w:val="32"/>
          <w:szCs w:val="32"/>
        </w:rPr>
      </w:pPr>
    </w:p>
    <w:p w14:paraId="6D5E3B4F">
      <w:pPr>
        <w:suppressAutoHyphens/>
        <w:bidi w:val="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 xml:space="preserve">    附件：</w:t>
      </w:r>
      <w:r>
        <w:rPr>
          <w:rFonts w:hint="eastAsia" w:ascii="仿宋_GB2312" w:hAnsi="仿宋_GB2312" w:eastAsia="仿宋_GB2312" w:cs="仿宋_GB2312"/>
          <w:b w:val="0"/>
          <w:bCs w:val="0"/>
          <w:sz w:val="32"/>
          <w:szCs w:val="32"/>
          <w:lang w:eastAsia="zh-CN"/>
        </w:rPr>
        <w:t>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SI仿宋-GB2312">
    <w:panose1 w:val="02000500000000000000"/>
    <w:charset w:val="86"/>
    <w:family w:val="auto"/>
    <w:pitch w:val="default"/>
    <w:sig w:usb0="800002AF" w:usb1="084F6CF8" w:usb2="00000010" w:usb3="00000000" w:csb0="0004000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宋体-18030">
    <w:altName w:val="文泉驿微米黑"/>
    <w:panose1 w:val="00000000000000000000"/>
    <w:charset w:val="00"/>
    <w:family w:val="auto"/>
    <w:pitch w:val="default"/>
    <w:sig w:usb0="00000000" w:usb1="00000000" w:usb2="000A005E" w:usb3="00000000" w:csb0="00040001" w:csb1="00000000"/>
  </w:font>
  <w:font w:name="文泉驿微米黑">
    <w:panose1 w:val="020B0606030804020204"/>
    <w:charset w:val="86"/>
    <w:family w:val="auto"/>
    <w:pitch w:val="default"/>
    <w:sig w:usb0="E10002EF" w:usb1="6BDFFCFB" w:usb2="00800036" w:usb3="00000000" w:csb0="603E019F" w:csb1="DFD70000"/>
  </w:font>
  <w:font w:name="time">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5C5A32"/>
    <w:multiLevelType w:val="multilevel"/>
    <w:tmpl w:val="385C5A32"/>
    <w:lvl w:ilvl="0" w:tentative="0">
      <w:start w:val="1"/>
      <w:numFmt w:val="decimal"/>
      <w:lvlText w:val="%1."/>
      <w:lvlJc w:val="left"/>
      <w:pPr>
        <w:ind w:left="420" w:hanging="420"/>
      </w:pPr>
      <w:rPr>
        <w:rFonts w:hint="default" w:ascii="time" w:hAnsi="time"/>
        <w:b w:val="0"/>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2A61B80"/>
    <w:multiLevelType w:val="multilevel"/>
    <w:tmpl w:val="42A61B80"/>
    <w:lvl w:ilvl="0" w:tentative="0">
      <w:start w:val="3"/>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2">
    <w:nsid w:val="58427CC1"/>
    <w:multiLevelType w:val="singleLevel"/>
    <w:tmpl w:val="58427CC1"/>
    <w:lvl w:ilvl="0" w:tentative="0">
      <w:start w:val="1"/>
      <w:numFmt w:val="chineseCounting"/>
      <w:suff w:val="nothing"/>
      <w:lvlText w:val="%1、"/>
      <w:lvlJc w:val="left"/>
      <w:rPr>
        <w:rFonts w:ascii="仿宋" w:hAnsi="仿宋" w:eastAsia="仿宋"/>
      </w:rPr>
    </w:lvl>
  </w:abstractNum>
  <w:abstractNum w:abstractNumId="3">
    <w:nsid w:val="7E804C4E"/>
    <w:multiLevelType w:val="multilevel"/>
    <w:tmpl w:val="7E804C4E"/>
    <w:lvl w:ilvl="0" w:tentative="0">
      <w:start w:val="1"/>
      <w:numFmt w:val="decimal"/>
      <w:lvlText w:val="%1."/>
      <w:lvlJc w:val="left"/>
      <w:pPr>
        <w:ind w:left="420" w:hanging="420"/>
      </w:pPr>
      <w:rPr>
        <w:rFonts w:hint="default" w:ascii="time" w:hAnsi="time"/>
        <w:b w:val="0"/>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BC7EB"/>
    <w:rsid w:val="0FDF3D2F"/>
    <w:rsid w:val="1BFBDA61"/>
    <w:rsid w:val="1DF3BD59"/>
    <w:rsid w:val="1FB58A97"/>
    <w:rsid w:val="217A8640"/>
    <w:rsid w:val="34EB9836"/>
    <w:rsid w:val="37BFF8D9"/>
    <w:rsid w:val="3BF6E0D7"/>
    <w:rsid w:val="3FCF05A5"/>
    <w:rsid w:val="5FDF8289"/>
    <w:rsid w:val="5FE3E4AC"/>
    <w:rsid w:val="677F1159"/>
    <w:rsid w:val="6FD72D14"/>
    <w:rsid w:val="76DF8147"/>
    <w:rsid w:val="779BF497"/>
    <w:rsid w:val="78E742DD"/>
    <w:rsid w:val="7A4F95EE"/>
    <w:rsid w:val="7ABE3BD8"/>
    <w:rsid w:val="7CDEEC02"/>
    <w:rsid w:val="7EEA85F1"/>
    <w:rsid w:val="7EFFE9F1"/>
    <w:rsid w:val="7FC5DF0F"/>
    <w:rsid w:val="7FE96BB4"/>
    <w:rsid w:val="8BB7E619"/>
    <w:rsid w:val="9FBF5DEA"/>
    <w:rsid w:val="9FF31979"/>
    <w:rsid w:val="9FFFF683"/>
    <w:rsid w:val="A5F72F1B"/>
    <w:rsid w:val="AE315E5B"/>
    <w:rsid w:val="B9E79648"/>
    <w:rsid w:val="BDFF5E03"/>
    <w:rsid w:val="BECF4A2B"/>
    <w:rsid w:val="CB1F7C46"/>
    <w:rsid w:val="CFB7CC28"/>
    <w:rsid w:val="CFFD1B8C"/>
    <w:rsid w:val="D75762BE"/>
    <w:rsid w:val="D8F3E047"/>
    <w:rsid w:val="DF69643B"/>
    <w:rsid w:val="E23FD6EC"/>
    <w:rsid w:val="EAAC9E74"/>
    <w:rsid w:val="EF224975"/>
    <w:rsid w:val="EFAD102E"/>
    <w:rsid w:val="F4FDCA0A"/>
    <w:rsid w:val="F6F71AAA"/>
    <w:rsid w:val="F7DB8FAB"/>
    <w:rsid w:val="F9F7BBDE"/>
    <w:rsid w:val="FADA0551"/>
    <w:rsid w:val="FAFF2A56"/>
    <w:rsid w:val="FB7AD17F"/>
    <w:rsid w:val="FBF7DE0E"/>
    <w:rsid w:val="FD70E4D9"/>
    <w:rsid w:val="FDA71445"/>
    <w:rsid w:val="FDD516C8"/>
    <w:rsid w:val="FDDAC103"/>
    <w:rsid w:val="FFEF3512"/>
    <w:rsid w:val="FFFDC6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CESI仿宋-GB2312" w:cs="Times New Roman"/>
      <w:color w:val="auto"/>
      <w:kern w:val="2"/>
      <w:sz w:val="32"/>
      <w:szCs w:val="24"/>
      <w:lang w:val="en-US" w:eastAsia="zh-CN" w:bidi="ar-SA"/>
    </w:rPr>
  </w:style>
  <w:style w:type="paragraph" w:styleId="2">
    <w:name w:val="heading 1"/>
    <w:basedOn w:val="1"/>
    <w:next w:val="1"/>
    <w:qFormat/>
    <w:uiPriority w:val="0"/>
    <w:pPr>
      <w:keepNext/>
      <w:keepLines/>
      <w:widowControl w:val="0"/>
      <w:adjustRightInd w:val="0"/>
      <w:snapToGrid w:val="0"/>
      <w:spacing w:line="240" w:lineRule="auto"/>
      <w:jc w:val="center"/>
      <w:outlineLvl w:val="0"/>
    </w:pPr>
    <w:rPr>
      <w:rFonts w:eastAsia="方正小标宋_GBK" w:cs="Calibri"/>
      <w:bCs/>
      <w:kern w:val="44"/>
      <w:sz w:val="44"/>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73</Pages>
  <Words>0</Words>
  <Characters>0</Characters>
  <Lines>0</Lines>
  <Paragraphs>0</Paragraphs>
  <TotalTime>3</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2022-11-05T18:55:00Z</dcterms:created>
  <dc:creator>thtf</dc:creator>
  <cp:lastModifiedBy>thtf</cp:lastModifiedBy>
  <dcterms:modified xsi:type="dcterms:W3CDTF">2026-03-27T10:26:57Z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708399CBE0FC5D8B2A73AE691348CA48_43</vt:lpwstr>
  </property>
</Properties>
</file>