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建筑废弃物再生混凝土复合保温砌块应用技术规程</w:t>
      </w:r>
      <w:r>
        <w:rPr>
          <w:rFonts w:hint="eastAsia"/>
          <w:b/>
          <w:sz w:val="30"/>
          <w:szCs w:val="30"/>
        </w:rPr>
        <w:t>》</w:t>
      </w:r>
    </w:p>
    <w:p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15477A86"/>
    <w:rsid w:val="15632D20"/>
    <w:rsid w:val="1AB46DD4"/>
    <w:rsid w:val="31F01501"/>
    <w:rsid w:val="40F340C4"/>
    <w:rsid w:val="4B152932"/>
    <w:rsid w:val="659E7700"/>
    <w:rsid w:val="6A1318F5"/>
    <w:rsid w:val="6A7D448A"/>
    <w:rsid w:val="72EC158D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4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2023-03-02T10:29:32Z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9158904CF35C4E15A67263CF4B454EEE</vt:lpwstr>
  </property>
</Properties>
</file>