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860"/>
        </w:tabs>
        <w:kinsoku/>
        <w:wordWrap/>
        <w:overflowPunct/>
        <w:topLinePunct w:val="0"/>
        <w:autoSpaceDE/>
        <w:autoSpaceDN/>
        <w:bidi w:val="0"/>
        <w:adjustRightInd/>
        <w:snapToGrid w:val="0"/>
        <w:spacing w:line="360" w:lineRule="auto"/>
        <w:ind w:right="0"/>
        <w:jc w:val="left"/>
        <w:textAlignment w:val="auto"/>
        <w:outlineLvl w:val="9"/>
        <w:rPr>
          <w:rFonts w:hint="eastAsia" w:ascii="黑体" w:eastAsia="黑体" w:cs="黑体"/>
          <w:b/>
          <w:bCs/>
          <w:sz w:val="32"/>
          <w:szCs w:val="32"/>
          <w:lang w:eastAsia="zh-CN" w:bidi="ar-SA"/>
        </w:rPr>
      </w:pPr>
      <w:r>
        <w:rPr>
          <w:rFonts w:hint="eastAsia" w:ascii="黑体" w:eastAsia="黑体" w:cs="黑体"/>
          <w:b/>
          <w:bCs/>
          <w:sz w:val="32"/>
          <w:szCs w:val="32"/>
          <w:lang w:eastAsia="zh-CN" w:bidi="ar-SA"/>
        </w:rPr>
        <w:t>附件</w:t>
      </w:r>
      <w:r>
        <w:rPr>
          <w:rFonts w:hint="eastAsia" w:ascii="黑体" w:eastAsia="黑体" w:cs="黑体"/>
          <w:b/>
          <w:bCs/>
          <w:sz w:val="32"/>
          <w:szCs w:val="32"/>
          <w:lang w:val="en-US" w:eastAsia="zh-CN" w:bidi="ar-SA"/>
        </w:rPr>
        <w:t>1：</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outlineLvl w:val="9"/>
        <w:rPr>
          <w:rFonts w:hint="eastAsia" w:ascii="仿宋" w:eastAsia="仿宋" w:cs="仿宋"/>
          <w:sz w:val="32"/>
          <w:szCs w:val="32"/>
          <w:lang w:val="en-US" w:eastAsia="zh-CN" w:bidi="ar-SA"/>
        </w:rPr>
      </w:pPr>
    </w:p>
    <w:tbl>
      <w:tblPr>
        <w:tblStyle w:val="10"/>
        <w:tblW w:w="14352" w:type="dxa"/>
        <w:tblInd w:w="0" w:type="dxa"/>
        <w:tblLayout w:type="fixed"/>
        <w:tblCellMar>
          <w:top w:w="15" w:type="dxa"/>
          <w:left w:w="15" w:type="dxa"/>
          <w:bottom w:w="15" w:type="dxa"/>
          <w:right w:w="15" w:type="dxa"/>
        </w:tblCellMar>
      </w:tblPr>
      <w:tblGrid>
        <w:gridCol w:w="1549"/>
        <w:gridCol w:w="2204"/>
        <w:gridCol w:w="2202"/>
        <w:gridCol w:w="2246"/>
        <w:gridCol w:w="2304"/>
        <w:gridCol w:w="3847"/>
      </w:tblGrid>
      <w:tr>
        <w:tblPrEx>
          <w:tblLayout w:type="fixed"/>
          <w:tblCellMar>
            <w:top w:w="15" w:type="dxa"/>
            <w:left w:w="15" w:type="dxa"/>
            <w:bottom w:w="15" w:type="dxa"/>
            <w:right w:w="15" w:type="dxa"/>
          </w:tblCellMar>
        </w:tblPrEx>
        <w:trPr>
          <w:trHeight w:val="750" w:hRule="atLeast"/>
        </w:trPr>
        <w:tc>
          <w:tcPr>
            <w:tcW w:w="14352" w:type="dxa"/>
            <w:gridSpan w:val="6"/>
            <w:tcBorders>
              <w:top w:val="nil"/>
              <w:left w:val="nil"/>
              <w:bottom w:val="nil"/>
              <w:right w:val="nil"/>
            </w:tcBorders>
            <w:vAlign w:val="center"/>
          </w:tcPr>
          <w:p>
            <w:pPr>
              <w:keepNext w:val="0"/>
              <w:keepLines w:val="0"/>
              <w:widowControl/>
              <w:suppressLineNumbers w:val="0"/>
              <w:jc w:val="center"/>
              <w:textAlignment w:val="center"/>
              <w:rPr>
                <w:rFonts w:hint="eastAsia" w:ascii="宋体" w:eastAsia="宋体" w:cs="宋体"/>
                <w:color w:val="000000"/>
                <w:sz w:val="36"/>
                <w:szCs w:val="36"/>
                <w:u w:val="none"/>
                <w:lang w:bidi="ar-SA"/>
              </w:rPr>
            </w:pPr>
            <w:r>
              <w:rPr>
                <w:rFonts w:hint="eastAsia" w:ascii="宋体" w:eastAsia="宋体" w:cs="宋体"/>
                <w:b/>
                <w:bCs/>
                <w:color w:val="000000"/>
                <w:kern w:val="0"/>
                <w:sz w:val="36"/>
                <w:szCs w:val="36"/>
                <w:u w:val="none"/>
                <w:lang w:val="en-US" w:eastAsia="zh-CN" w:bidi="ar"/>
              </w:rPr>
              <w:t>全省住房城乡建设系统“安全生产月”活动联络员推荐表</w:t>
            </w:r>
          </w:p>
        </w:tc>
      </w:tr>
      <w:tr>
        <w:tblPrEx>
          <w:tblLayout w:type="fixed"/>
          <w:tblCellMar>
            <w:top w:w="15" w:type="dxa"/>
            <w:left w:w="15" w:type="dxa"/>
            <w:bottom w:w="15" w:type="dxa"/>
            <w:right w:w="15" w:type="dxa"/>
          </w:tblCellMar>
        </w:tblPrEx>
        <w:trPr>
          <w:trHeight w:val="510" w:hRule="atLeast"/>
        </w:trPr>
        <w:tc>
          <w:tcPr>
            <w:tcW w:w="3753" w:type="dxa"/>
            <w:gridSpan w:val="2"/>
            <w:tcBorders>
              <w:top w:val="nil"/>
              <w:left w:val="nil"/>
              <w:bottom w:val="nil"/>
              <w:right w:val="nil"/>
            </w:tcBorders>
            <w:vAlign w:val="center"/>
          </w:tcPr>
          <w:p>
            <w:pPr>
              <w:keepNext w:val="0"/>
              <w:keepLines w:val="0"/>
              <w:widowControl/>
              <w:suppressLineNumbers w:val="0"/>
              <w:jc w:val="center"/>
              <w:textAlignment w:val="center"/>
              <w:rPr>
                <w:rFonts w:hint="eastAsia" w:ascii="宋体" w:eastAsia="宋体" w:cs="宋体"/>
                <w:color w:val="000000"/>
                <w:sz w:val="28"/>
                <w:szCs w:val="28"/>
                <w:u w:val="none"/>
                <w:lang w:bidi="ar-SA"/>
              </w:rPr>
            </w:pPr>
            <w:r>
              <w:rPr>
                <w:rFonts w:hint="eastAsia" w:ascii="宋体" w:eastAsia="宋体" w:cs="宋体"/>
                <w:color w:val="000000"/>
                <w:kern w:val="0"/>
                <w:sz w:val="32"/>
                <w:szCs w:val="32"/>
                <w:u w:val="none"/>
                <w:lang w:val="en-US" w:eastAsia="zh-CN" w:bidi="ar"/>
              </w:rPr>
              <w:t>单位（公章）</w:t>
            </w:r>
          </w:p>
        </w:tc>
        <w:tc>
          <w:tcPr>
            <w:tcW w:w="2202" w:type="dxa"/>
            <w:tcBorders>
              <w:top w:val="nil"/>
              <w:left w:val="nil"/>
              <w:bottom w:val="nil"/>
              <w:right w:val="nil"/>
            </w:tcBorders>
            <w:vAlign w:val="center"/>
          </w:tcPr>
          <w:p>
            <w:pPr>
              <w:jc w:val="center"/>
              <w:rPr>
                <w:rFonts w:hint="eastAsia" w:ascii="宋体" w:eastAsia="宋体" w:cs="宋体"/>
                <w:color w:val="000000"/>
                <w:sz w:val="28"/>
                <w:szCs w:val="28"/>
                <w:u w:val="none"/>
                <w:lang w:bidi="ar-SA"/>
              </w:rPr>
            </w:pPr>
          </w:p>
        </w:tc>
        <w:tc>
          <w:tcPr>
            <w:tcW w:w="2246" w:type="dxa"/>
            <w:tcBorders>
              <w:top w:val="nil"/>
              <w:left w:val="nil"/>
              <w:bottom w:val="nil"/>
              <w:right w:val="nil"/>
            </w:tcBorders>
            <w:vAlign w:val="center"/>
          </w:tcPr>
          <w:p>
            <w:pPr>
              <w:jc w:val="center"/>
              <w:rPr>
                <w:rFonts w:hint="eastAsia" w:ascii="宋体" w:eastAsia="宋体" w:cs="宋体"/>
                <w:color w:val="000000"/>
                <w:sz w:val="28"/>
                <w:szCs w:val="28"/>
                <w:u w:val="none"/>
                <w:lang w:bidi="ar-SA"/>
              </w:rPr>
            </w:pPr>
          </w:p>
        </w:tc>
        <w:tc>
          <w:tcPr>
            <w:tcW w:w="2304" w:type="dxa"/>
            <w:tcBorders>
              <w:top w:val="nil"/>
              <w:left w:val="nil"/>
              <w:bottom w:val="nil"/>
              <w:right w:val="nil"/>
            </w:tcBorders>
            <w:vAlign w:val="center"/>
          </w:tcPr>
          <w:p>
            <w:pPr>
              <w:jc w:val="center"/>
              <w:rPr>
                <w:rFonts w:hint="eastAsia" w:ascii="宋体" w:eastAsia="宋体" w:cs="宋体"/>
                <w:color w:val="000000"/>
                <w:sz w:val="28"/>
                <w:szCs w:val="28"/>
                <w:u w:val="none"/>
                <w:lang w:bidi="ar-SA"/>
              </w:rPr>
            </w:pPr>
          </w:p>
        </w:tc>
        <w:tc>
          <w:tcPr>
            <w:tcW w:w="3847" w:type="dxa"/>
            <w:tcBorders>
              <w:top w:val="nil"/>
              <w:left w:val="nil"/>
              <w:bottom w:val="nil"/>
              <w:right w:val="nil"/>
            </w:tcBorders>
            <w:vAlign w:val="center"/>
          </w:tcPr>
          <w:p>
            <w:pPr>
              <w:jc w:val="center"/>
              <w:rPr>
                <w:rFonts w:hint="eastAsia" w:ascii="宋体" w:eastAsia="宋体" w:cs="宋体"/>
                <w:color w:val="000000"/>
                <w:sz w:val="28"/>
                <w:szCs w:val="28"/>
                <w:u w:val="none"/>
                <w:lang w:bidi="ar-SA"/>
              </w:rPr>
            </w:pPr>
          </w:p>
        </w:tc>
      </w:tr>
      <w:tr>
        <w:tblPrEx>
          <w:tblLayout w:type="fixed"/>
          <w:tblCellMar>
            <w:top w:w="15" w:type="dxa"/>
            <w:left w:w="15" w:type="dxa"/>
            <w:bottom w:w="15" w:type="dxa"/>
            <w:right w:w="15" w:type="dxa"/>
          </w:tblCellMar>
        </w:tblPrEx>
        <w:trPr>
          <w:trHeight w:val="660" w:hRule="atLeast"/>
        </w:trPr>
        <w:tc>
          <w:tcPr>
            <w:tcW w:w="15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cs="宋体"/>
                <w:color w:val="000000"/>
                <w:sz w:val="32"/>
                <w:szCs w:val="32"/>
                <w:u w:val="none"/>
                <w:lang w:bidi="ar-SA"/>
              </w:rPr>
            </w:pPr>
            <w:r>
              <w:rPr>
                <w:rFonts w:hint="eastAsia" w:ascii="宋体" w:eastAsia="宋体" w:cs="宋体"/>
                <w:color w:val="000000"/>
                <w:kern w:val="0"/>
                <w:sz w:val="32"/>
                <w:szCs w:val="32"/>
                <w:u w:val="none"/>
                <w:lang w:val="en-US" w:eastAsia="zh-CN" w:bidi="ar"/>
              </w:rPr>
              <w:t>姓名</w:t>
            </w:r>
          </w:p>
        </w:tc>
        <w:tc>
          <w:tcPr>
            <w:tcW w:w="22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32"/>
                <w:szCs w:val="32"/>
                <w:u w:val="none"/>
                <w:lang w:bidi="ar-SA"/>
              </w:rPr>
            </w:pPr>
          </w:p>
        </w:tc>
        <w:tc>
          <w:tcPr>
            <w:tcW w:w="22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cs="宋体"/>
                <w:color w:val="000000"/>
                <w:sz w:val="32"/>
                <w:szCs w:val="32"/>
                <w:u w:val="none"/>
                <w:lang w:bidi="ar-SA"/>
              </w:rPr>
            </w:pPr>
            <w:r>
              <w:rPr>
                <w:rFonts w:hint="eastAsia" w:ascii="宋体" w:eastAsia="宋体" w:cs="宋体"/>
                <w:color w:val="000000"/>
                <w:kern w:val="0"/>
                <w:sz w:val="32"/>
                <w:szCs w:val="32"/>
                <w:u w:val="none"/>
                <w:lang w:val="en-US" w:eastAsia="zh-CN" w:bidi="ar"/>
              </w:rPr>
              <w:t>性别</w:t>
            </w:r>
          </w:p>
        </w:tc>
        <w:tc>
          <w:tcPr>
            <w:tcW w:w="22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32"/>
                <w:szCs w:val="32"/>
                <w:u w:val="none"/>
                <w:lang w:bidi="ar-SA"/>
              </w:rPr>
            </w:pP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cs="宋体"/>
                <w:color w:val="000000"/>
                <w:sz w:val="32"/>
                <w:szCs w:val="32"/>
                <w:u w:val="none"/>
                <w:lang w:bidi="ar-SA"/>
              </w:rPr>
            </w:pPr>
            <w:r>
              <w:rPr>
                <w:rFonts w:hint="eastAsia" w:ascii="宋体" w:eastAsia="宋体" w:cs="宋体"/>
                <w:color w:val="000000"/>
                <w:kern w:val="0"/>
                <w:sz w:val="32"/>
                <w:szCs w:val="32"/>
                <w:u w:val="none"/>
                <w:lang w:val="en-US" w:eastAsia="zh-CN" w:bidi="ar"/>
              </w:rPr>
              <w:t>职务</w:t>
            </w:r>
          </w:p>
        </w:tc>
        <w:tc>
          <w:tcPr>
            <w:tcW w:w="38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32"/>
                <w:szCs w:val="32"/>
                <w:u w:val="none"/>
                <w:lang w:bidi="ar-SA"/>
              </w:rPr>
            </w:pPr>
          </w:p>
        </w:tc>
      </w:tr>
      <w:tr>
        <w:tblPrEx>
          <w:tblLayout w:type="fixed"/>
          <w:tblCellMar>
            <w:top w:w="15" w:type="dxa"/>
            <w:left w:w="15" w:type="dxa"/>
            <w:bottom w:w="15" w:type="dxa"/>
            <w:right w:w="15" w:type="dxa"/>
          </w:tblCellMar>
        </w:tblPrEx>
        <w:trPr>
          <w:trHeight w:val="690" w:hRule="atLeast"/>
        </w:trPr>
        <w:tc>
          <w:tcPr>
            <w:tcW w:w="15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cs="宋体"/>
                <w:color w:val="000000"/>
                <w:sz w:val="32"/>
                <w:szCs w:val="32"/>
                <w:u w:val="none"/>
                <w:lang w:bidi="ar-SA"/>
              </w:rPr>
            </w:pPr>
            <w:r>
              <w:rPr>
                <w:rFonts w:hint="eastAsia" w:ascii="宋体" w:eastAsia="宋体" w:cs="宋体"/>
                <w:color w:val="000000"/>
                <w:kern w:val="0"/>
                <w:sz w:val="32"/>
                <w:szCs w:val="32"/>
                <w:u w:val="none"/>
                <w:lang w:val="en-US" w:eastAsia="zh-CN" w:bidi="ar"/>
              </w:rPr>
              <w:t>办公电话</w:t>
            </w:r>
          </w:p>
        </w:tc>
        <w:tc>
          <w:tcPr>
            <w:tcW w:w="44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32"/>
                <w:szCs w:val="32"/>
                <w:u w:val="none"/>
                <w:lang w:bidi="ar-SA"/>
              </w:rPr>
            </w:pPr>
          </w:p>
        </w:tc>
        <w:tc>
          <w:tcPr>
            <w:tcW w:w="2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cs="宋体"/>
                <w:color w:val="000000"/>
                <w:sz w:val="32"/>
                <w:szCs w:val="32"/>
                <w:u w:val="none"/>
                <w:lang w:bidi="ar-SA"/>
              </w:rPr>
            </w:pPr>
            <w:r>
              <w:rPr>
                <w:rFonts w:hint="eastAsia" w:ascii="宋体" w:eastAsia="宋体" w:cs="宋体"/>
                <w:color w:val="000000"/>
                <w:kern w:val="0"/>
                <w:sz w:val="32"/>
                <w:szCs w:val="32"/>
                <w:u w:val="none"/>
                <w:lang w:val="en-US" w:eastAsia="zh-CN" w:bidi="ar"/>
              </w:rPr>
              <w:t>移动电话</w:t>
            </w:r>
          </w:p>
        </w:tc>
        <w:tc>
          <w:tcPr>
            <w:tcW w:w="61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32"/>
                <w:szCs w:val="32"/>
                <w:u w:val="none"/>
                <w:lang w:bidi="ar-SA"/>
              </w:rPr>
            </w:pPr>
          </w:p>
        </w:tc>
      </w:tr>
      <w:tr>
        <w:tblPrEx>
          <w:tblLayout w:type="fixed"/>
          <w:tblCellMar>
            <w:top w:w="15" w:type="dxa"/>
            <w:left w:w="15" w:type="dxa"/>
            <w:bottom w:w="15" w:type="dxa"/>
            <w:right w:w="15" w:type="dxa"/>
          </w:tblCellMar>
        </w:tblPrEx>
        <w:trPr>
          <w:trHeight w:val="735" w:hRule="atLeast"/>
        </w:trPr>
        <w:tc>
          <w:tcPr>
            <w:tcW w:w="15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cs="宋体"/>
                <w:color w:val="000000"/>
                <w:sz w:val="32"/>
                <w:szCs w:val="32"/>
                <w:u w:val="none"/>
                <w:lang w:bidi="ar-SA"/>
              </w:rPr>
            </w:pPr>
            <w:r>
              <w:rPr>
                <w:rFonts w:hint="eastAsia" w:ascii="宋体" w:eastAsia="宋体" w:cs="宋体"/>
                <w:color w:val="000000"/>
                <w:kern w:val="0"/>
                <w:sz w:val="32"/>
                <w:szCs w:val="32"/>
                <w:u w:val="none"/>
                <w:lang w:val="en-US" w:eastAsia="zh-CN" w:bidi="ar"/>
              </w:rPr>
              <w:t>微信号</w:t>
            </w:r>
          </w:p>
        </w:tc>
        <w:tc>
          <w:tcPr>
            <w:tcW w:w="44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32"/>
                <w:szCs w:val="32"/>
                <w:u w:val="none"/>
                <w:lang w:bidi="ar-SA"/>
              </w:rPr>
            </w:pPr>
          </w:p>
        </w:tc>
        <w:tc>
          <w:tcPr>
            <w:tcW w:w="22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cs="宋体"/>
                <w:color w:val="000000"/>
                <w:sz w:val="32"/>
                <w:szCs w:val="32"/>
                <w:u w:val="none"/>
                <w:lang w:bidi="ar-SA"/>
              </w:rPr>
            </w:pPr>
            <w:r>
              <w:rPr>
                <w:rFonts w:hint="eastAsia" w:ascii="宋体" w:eastAsia="宋体" w:cs="宋体"/>
                <w:color w:val="000000"/>
                <w:kern w:val="0"/>
                <w:sz w:val="32"/>
                <w:szCs w:val="32"/>
                <w:u w:val="none"/>
                <w:lang w:val="en-US" w:eastAsia="zh-CN" w:bidi="ar"/>
              </w:rPr>
              <w:t>电子信箱</w:t>
            </w:r>
          </w:p>
        </w:tc>
        <w:tc>
          <w:tcPr>
            <w:tcW w:w="61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32"/>
                <w:szCs w:val="32"/>
                <w:u w:val="none"/>
                <w:lang w:bidi="ar-SA"/>
              </w:rPr>
            </w:pPr>
          </w:p>
        </w:tc>
      </w:tr>
      <w:tr>
        <w:tblPrEx>
          <w:tblLayout w:type="fixed"/>
          <w:tblCellMar>
            <w:top w:w="15" w:type="dxa"/>
            <w:left w:w="15" w:type="dxa"/>
            <w:bottom w:w="15" w:type="dxa"/>
            <w:right w:w="15" w:type="dxa"/>
          </w:tblCellMar>
        </w:tblPrEx>
        <w:trPr>
          <w:trHeight w:val="810" w:hRule="atLeast"/>
        </w:trPr>
        <w:tc>
          <w:tcPr>
            <w:tcW w:w="15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cs="宋体"/>
                <w:color w:val="000000"/>
                <w:sz w:val="32"/>
                <w:szCs w:val="32"/>
                <w:u w:val="none"/>
                <w:lang w:bidi="ar-SA"/>
              </w:rPr>
            </w:pPr>
            <w:r>
              <w:rPr>
                <w:rFonts w:hint="eastAsia" w:ascii="宋体" w:eastAsia="宋体" w:cs="宋体"/>
                <w:color w:val="000000"/>
                <w:kern w:val="0"/>
                <w:sz w:val="32"/>
                <w:szCs w:val="32"/>
                <w:u w:val="none"/>
                <w:lang w:val="en-US" w:eastAsia="zh-CN" w:bidi="ar"/>
              </w:rPr>
              <w:t>单位名称</w:t>
            </w:r>
          </w:p>
        </w:tc>
        <w:tc>
          <w:tcPr>
            <w:tcW w:w="1280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32"/>
                <w:szCs w:val="32"/>
                <w:u w:val="none"/>
                <w:lang w:bidi="ar-SA"/>
              </w:rPr>
            </w:pPr>
          </w:p>
        </w:tc>
      </w:tr>
      <w:tr>
        <w:tblPrEx>
          <w:tblLayout w:type="fixed"/>
          <w:tblCellMar>
            <w:top w:w="15" w:type="dxa"/>
            <w:left w:w="15" w:type="dxa"/>
            <w:bottom w:w="15" w:type="dxa"/>
            <w:right w:w="15" w:type="dxa"/>
          </w:tblCellMar>
        </w:tblPrEx>
        <w:trPr>
          <w:trHeight w:val="795" w:hRule="atLeast"/>
        </w:trPr>
        <w:tc>
          <w:tcPr>
            <w:tcW w:w="15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cs="宋体"/>
                <w:color w:val="000000"/>
                <w:sz w:val="32"/>
                <w:szCs w:val="32"/>
                <w:u w:val="none"/>
                <w:lang w:bidi="ar-SA"/>
              </w:rPr>
            </w:pPr>
            <w:r>
              <w:rPr>
                <w:rFonts w:hint="eastAsia" w:ascii="宋体" w:eastAsia="宋体" w:cs="宋体"/>
                <w:color w:val="000000"/>
                <w:kern w:val="0"/>
                <w:sz w:val="32"/>
                <w:szCs w:val="32"/>
                <w:u w:val="none"/>
                <w:lang w:val="en-US" w:eastAsia="zh-CN" w:bidi="ar"/>
              </w:rPr>
              <w:t>通信地址</w:t>
            </w:r>
          </w:p>
        </w:tc>
        <w:tc>
          <w:tcPr>
            <w:tcW w:w="1280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32"/>
                <w:szCs w:val="32"/>
                <w:u w:val="none"/>
                <w:lang w:bidi="ar-SA"/>
              </w:rPr>
            </w:pPr>
          </w:p>
        </w:tc>
      </w:tr>
    </w:tbl>
    <w:p>
      <w:pPr>
        <w:keepNext w:val="0"/>
        <w:keepLines w:val="0"/>
        <w:pageBreakBefore w:val="0"/>
        <w:widowControl w:val="0"/>
        <w:kinsoku/>
        <w:wordWrap/>
        <w:overflowPunct/>
        <w:topLinePunct w:val="0"/>
        <w:autoSpaceDE/>
        <w:autoSpaceDN/>
        <w:bidi w:val="0"/>
        <w:adjustRightInd/>
        <w:snapToGrid w:val="0"/>
        <w:spacing w:line="360" w:lineRule="auto"/>
        <w:ind w:left="0" w:right="0" w:firstLine="627" w:firstLineChars="196"/>
        <w:jc w:val="left"/>
        <w:textAlignment w:val="auto"/>
        <w:outlineLvl w:val="9"/>
        <w:rPr>
          <w:rFonts w:hint="eastAsia" w:ascii="黑体" w:eastAsia="黑体" w:cs="黑体"/>
          <w:b/>
          <w:bCs/>
          <w:sz w:val="32"/>
          <w:szCs w:val="32"/>
          <w:lang w:val="en-US" w:eastAsia="zh-CN" w:bidi="ar-SA"/>
        </w:rPr>
      </w:pPr>
      <w:r>
        <w:rPr>
          <w:rFonts w:hint="eastAsia" w:ascii="黑体" w:eastAsia="黑体" w:cs="黑体"/>
          <w:b/>
          <w:bCs/>
          <w:sz w:val="32"/>
          <w:szCs w:val="32"/>
          <w:lang w:val="en-US" w:eastAsia="zh-CN" w:bidi="ar-SA"/>
        </w:rPr>
        <w:br w:type="page"/>
      </w:r>
      <w:r>
        <w:rPr>
          <w:rFonts w:hint="eastAsia" w:ascii="黑体" w:eastAsia="黑体" w:cs="黑体"/>
          <w:b/>
          <w:bCs/>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1785" w:firstLineChars="496"/>
        <w:jc w:val="left"/>
        <w:textAlignment w:val="auto"/>
        <w:outlineLvl w:val="9"/>
        <w:rPr>
          <w:rFonts w:hint="eastAsia" w:ascii="宋体" w:eastAsia="宋体" w:cs="宋体"/>
          <w:b/>
          <w:bCs/>
          <w:kern w:val="0"/>
          <w:sz w:val="36"/>
          <w:szCs w:val="36"/>
          <w:lang w:val="en-US" w:eastAsia="zh-CN" w:bidi="ar-SA"/>
        </w:rPr>
      </w:pPr>
      <w:r>
        <w:rPr>
          <w:rFonts w:hint="eastAsia" w:ascii="宋体" w:eastAsia="宋体" w:cs="宋体"/>
          <w:b/>
          <w:bCs/>
          <w:kern w:val="0"/>
          <w:sz w:val="36"/>
          <w:szCs w:val="36"/>
          <w:lang w:val="en-US" w:eastAsia="zh-CN" w:bidi="ar-SA"/>
        </w:rPr>
        <w:t>2021年全省住建系统“安全生产月” 和“安全生产辽沈行”活动</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5565" w:firstLineChars="1546"/>
        <w:jc w:val="left"/>
        <w:textAlignment w:val="auto"/>
        <w:outlineLvl w:val="9"/>
        <w:rPr>
          <w:rFonts w:hint="eastAsia" w:ascii="宋体" w:eastAsia="宋体" w:cs="宋体"/>
          <w:b/>
          <w:bCs/>
          <w:kern w:val="0"/>
          <w:sz w:val="36"/>
          <w:szCs w:val="36"/>
          <w:lang w:val="en-US" w:eastAsia="zh-CN" w:bidi="ar-SA"/>
        </w:rPr>
      </w:pPr>
      <w:r>
        <w:rPr>
          <w:rFonts w:hint="eastAsia" w:ascii="宋体" w:eastAsia="宋体" w:cs="宋体"/>
          <w:b/>
          <w:bCs/>
          <w:color w:val="000000"/>
          <w:kern w:val="0"/>
          <w:sz w:val="36"/>
          <w:szCs w:val="36"/>
          <w:u w:val="none"/>
          <w:lang w:val="en-US" w:eastAsia="zh-CN" w:bidi="ar"/>
        </w:rPr>
        <w:t>进展情况统计</w:t>
      </w:r>
      <w:r>
        <w:rPr>
          <w:rFonts w:hint="eastAsia" w:ascii="宋体" w:eastAsia="宋体" w:cs="宋体"/>
          <w:b/>
          <w:bCs/>
          <w:kern w:val="0"/>
          <w:sz w:val="36"/>
          <w:szCs w:val="36"/>
          <w:lang w:val="en-US" w:eastAsia="zh-CN" w:bidi="ar-SA"/>
        </w:rPr>
        <w:t>表</w:t>
      </w:r>
    </w:p>
    <w:p>
      <w:pP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 xml:space="preserve">填报单位（盖单）          联系人：              电话：         填报日期 ：  </w:t>
      </w:r>
    </w:p>
    <w:tbl>
      <w:tblPr>
        <w:tblStyle w:val="10"/>
        <w:tblW w:w="13410"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558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770" w:type="dxa"/>
            <w:vAlign w:val="top"/>
          </w:tcPr>
          <w:p>
            <w:pPr>
              <w:jc w:val="center"/>
              <w:rPr>
                <w:rFonts w:hint="eastAsia" w:ascii="宋体" w:hAnsi="宋体" w:eastAsia="宋体" w:cs="宋体"/>
                <w:sz w:val="28"/>
                <w:szCs w:val="28"/>
                <w:vertAlign w:val="baseline"/>
                <w:lang w:val="en-US" w:eastAsia="zh-CN" w:bidi="ar-SA"/>
              </w:rPr>
            </w:pPr>
            <w:r>
              <w:rPr>
                <w:rFonts w:hint="eastAsia" w:ascii="宋体" w:hAnsi="宋体" w:eastAsia="宋体" w:cs="宋体"/>
                <w:sz w:val="28"/>
                <w:szCs w:val="28"/>
                <w:vertAlign w:val="baseline"/>
                <w:lang w:val="en-US" w:eastAsia="zh-CN" w:bidi="ar-SA"/>
              </w:rPr>
              <w:t>活动项目</w:t>
            </w:r>
          </w:p>
        </w:tc>
        <w:tc>
          <w:tcPr>
            <w:tcW w:w="5580" w:type="dxa"/>
            <w:vAlign w:val="top"/>
          </w:tcPr>
          <w:p>
            <w:pPr>
              <w:jc w:val="center"/>
              <w:rPr>
                <w:rFonts w:hint="eastAsia" w:ascii="宋体" w:hAnsi="宋体" w:eastAsia="宋体" w:cs="宋体"/>
                <w:sz w:val="28"/>
                <w:szCs w:val="28"/>
                <w:vertAlign w:val="baseline"/>
                <w:lang w:val="en-US" w:eastAsia="zh-CN" w:bidi="ar-SA"/>
              </w:rPr>
            </w:pPr>
            <w:r>
              <w:rPr>
                <w:rFonts w:hint="eastAsia" w:ascii="宋体" w:hAnsi="宋体" w:eastAsia="宋体" w:cs="宋体"/>
                <w:sz w:val="28"/>
                <w:szCs w:val="28"/>
                <w:vertAlign w:val="baseline"/>
                <w:lang w:val="en-US" w:eastAsia="zh-CN" w:bidi="ar-SA"/>
              </w:rPr>
              <w:t>内容要求</w:t>
            </w:r>
          </w:p>
        </w:tc>
        <w:tc>
          <w:tcPr>
            <w:tcW w:w="5060" w:type="dxa"/>
            <w:vAlign w:val="top"/>
          </w:tcPr>
          <w:p>
            <w:pPr>
              <w:jc w:val="center"/>
              <w:rPr>
                <w:rFonts w:hint="eastAsia" w:ascii="宋体" w:hAnsi="宋体" w:eastAsia="宋体" w:cs="宋体"/>
                <w:sz w:val="28"/>
                <w:szCs w:val="28"/>
                <w:vertAlign w:val="baseline"/>
                <w:lang w:val="en-US" w:eastAsia="zh-CN" w:bidi="ar-SA"/>
              </w:rPr>
            </w:pPr>
            <w:r>
              <w:rPr>
                <w:rFonts w:hint="eastAsia" w:ascii="宋体" w:hAnsi="宋体" w:eastAsia="宋体" w:cs="宋体"/>
                <w:sz w:val="28"/>
                <w:szCs w:val="28"/>
                <w:vertAlign w:val="baseline"/>
                <w:lang w:val="en-US" w:eastAsia="zh-CN" w:bidi="ar-SA"/>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770" w:type="dxa"/>
            <w:vAlign w:val="top"/>
          </w:tcPr>
          <w:p>
            <w:pPr>
              <w:rPr>
                <w:rFonts w:hint="eastAsia" w:ascii="宋体" w:hAnsi="宋体" w:eastAsia="宋体" w:cs="宋体"/>
                <w:b/>
                <w:bCs/>
                <w:sz w:val="28"/>
                <w:szCs w:val="28"/>
                <w:vertAlign w:val="baseline"/>
                <w:lang w:val="en-US" w:eastAsia="zh-CN" w:bidi="ar-SA"/>
              </w:rPr>
            </w:pPr>
            <w:r>
              <w:rPr>
                <w:rFonts w:hint="eastAsia" w:ascii="宋体" w:hAnsi="宋体" w:eastAsia="宋体" w:cs="宋体"/>
                <w:b/>
                <w:bCs/>
                <w:sz w:val="28"/>
                <w:szCs w:val="28"/>
                <w:vertAlign w:val="baseline"/>
                <w:lang w:val="en-US" w:eastAsia="zh-CN" w:bidi="ar-SA"/>
              </w:rPr>
              <w:t>学习习近平总书记关于安全生产重要论述</w:t>
            </w:r>
          </w:p>
        </w:tc>
        <w:tc>
          <w:tcPr>
            <w:tcW w:w="5580" w:type="dxa"/>
            <w:vAlign w:val="top"/>
          </w:tcPr>
          <w:p>
            <w:pPr>
              <w:jc w:val="left"/>
              <w:rPr>
                <w:rFonts w:hint="eastAsia" w:ascii="宋体" w:hAnsi="宋体" w:eastAsia="宋体" w:cs="宋体"/>
                <w:sz w:val="28"/>
                <w:szCs w:val="28"/>
                <w:vertAlign w:val="baseline"/>
                <w:lang w:val="en-US" w:eastAsia="zh-CN" w:bidi="ar-SA"/>
              </w:rPr>
            </w:pPr>
            <w:r>
              <w:rPr>
                <w:rFonts w:hint="eastAsia" w:ascii="宋体" w:hAnsi="宋体" w:eastAsia="宋体" w:cs="宋体"/>
                <w:sz w:val="28"/>
                <w:szCs w:val="28"/>
                <w:lang w:bidi="ar-SA"/>
              </w:rPr>
              <w:t>持续深入学习贯彻习近平总书记关于安全生产工作的重要论述，集中观看学习《生命重于泰山》电视专题片，落实安全生产十五条措施、组织专家进入机关和企业。</w:t>
            </w:r>
          </w:p>
        </w:tc>
        <w:tc>
          <w:tcPr>
            <w:tcW w:w="5060"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right="0" w:firstLine="0"/>
              <w:jc w:val="both"/>
              <w:textAlignment w:val="auto"/>
              <w:outlineLvl w:val="9"/>
              <w:rPr>
                <w:rFonts w:hint="eastAsia" w:ascii="宋体" w:hAnsi="宋体" w:eastAsia="宋体" w:cs="宋体"/>
                <w:sz w:val="28"/>
                <w:szCs w:val="28"/>
                <w:lang w:eastAsia="zh-CN" w:bidi="ar-SA"/>
              </w:rPr>
            </w:pPr>
            <w:r>
              <w:rPr>
                <w:rFonts w:hint="eastAsia" w:ascii="宋体" w:hAnsi="宋体" w:eastAsia="宋体" w:cs="宋体"/>
                <w:sz w:val="28"/>
                <w:szCs w:val="28"/>
                <w:vertAlign w:val="baseline"/>
                <w:lang w:val="en-US" w:eastAsia="zh-CN" w:bidi="ar-SA"/>
              </w:rPr>
              <w:t>理论学习中心组学习（）次，参与（）人次；电视专题片学习观看（）场，参与（）人次；开展</w:t>
            </w:r>
            <w:r>
              <w:rPr>
                <w:rFonts w:hint="eastAsia" w:ascii="宋体" w:hAnsi="宋体" w:eastAsia="宋体" w:cs="宋体"/>
                <w:sz w:val="28"/>
                <w:szCs w:val="28"/>
                <w:lang w:bidi="ar-SA"/>
              </w:rPr>
              <w:t>“公开课”“大家谈”“班组会”活动</w:t>
            </w:r>
            <w:r>
              <w:rPr>
                <w:rFonts w:hint="eastAsia" w:ascii="宋体" w:hAnsi="宋体" w:eastAsia="宋体" w:cs="宋体"/>
                <w:sz w:val="28"/>
                <w:szCs w:val="28"/>
                <w:lang w:eastAsia="zh-CN" w:bidi="ar-SA"/>
              </w:rPr>
              <w:t>（）场，参与（）人次。</w:t>
            </w:r>
          </w:p>
          <w:p>
            <w:pPr>
              <w:keepNext w:val="0"/>
              <w:keepLines w:val="0"/>
              <w:pageBreakBefore w:val="0"/>
              <w:widowControl w:val="0"/>
              <w:kinsoku/>
              <w:wordWrap/>
              <w:overflowPunct/>
              <w:topLinePunct w:val="0"/>
              <w:autoSpaceDE/>
              <w:autoSpaceDN/>
              <w:bidi w:val="0"/>
              <w:adjustRightInd/>
              <w:snapToGrid/>
              <w:spacing w:line="480" w:lineRule="exact"/>
              <w:ind w:left="0" w:right="0" w:firstLine="0"/>
              <w:jc w:val="both"/>
              <w:textAlignment w:val="auto"/>
              <w:outlineLvl w:val="9"/>
              <w:rPr>
                <w:rFonts w:hint="eastAsia" w:ascii="宋体" w:hAnsi="宋体" w:eastAsia="宋体" w:cs="宋体"/>
                <w:sz w:val="28"/>
                <w:szCs w:val="28"/>
                <w:lang w:eastAsia="zh-CN" w:bidi="ar-SA"/>
              </w:rPr>
            </w:pPr>
            <w:r>
              <w:rPr>
                <w:rFonts w:hint="eastAsia" w:ascii="宋体" w:hAnsi="宋体" w:eastAsia="宋体" w:cs="宋体"/>
                <w:sz w:val="28"/>
                <w:szCs w:val="28"/>
                <w:lang w:eastAsia="zh-CN" w:bidi="ar-SA"/>
              </w:rPr>
              <w:t>组织专家进入机关\企业（）场，参与（）人次</w:t>
            </w:r>
          </w:p>
          <w:p>
            <w:pPr>
              <w:rPr>
                <w:rFonts w:hint="eastAsia" w:ascii="宋体" w:hAnsi="宋体" w:eastAsia="宋体" w:cs="宋体"/>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770" w:type="dxa"/>
            <w:vAlign w:val="top"/>
          </w:tcPr>
          <w:p>
            <w:pPr>
              <w:rPr>
                <w:rFonts w:hint="eastAsia" w:ascii="宋体" w:hAnsi="宋体" w:eastAsia="宋体" w:cs="宋体"/>
                <w:b/>
                <w:bCs/>
                <w:sz w:val="28"/>
                <w:szCs w:val="28"/>
                <w:vertAlign w:val="baseline"/>
                <w:lang w:val="en-US" w:eastAsia="zh-CN" w:bidi="ar-SA"/>
              </w:rPr>
            </w:pPr>
            <w:r>
              <w:rPr>
                <w:rFonts w:hint="eastAsia" w:ascii="宋体" w:hAnsi="宋体" w:eastAsia="宋体" w:cs="宋体"/>
                <w:b/>
                <w:bCs/>
                <w:sz w:val="28"/>
                <w:szCs w:val="28"/>
                <w:vertAlign w:val="baseline"/>
                <w:lang w:val="en-US" w:eastAsia="zh-CN" w:bidi="ar-SA"/>
              </w:rPr>
              <w:t>宣传贯彻</w:t>
            </w:r>
            <w:r>
              <w:rPr>
                <w:rFonts w:hint="eastAsia" w:ascii="宋体" w:hAnsi="宋体" w:cs="宋体"/>
                <w:b/>
                <w:bCs/>
                <w:sz w:val="28"/>
                <w:szCs w:val="28"/>
                <w:vertAlign w:val="baseline"/>
                <w:lang w:val="en-US" w:eastAsia="zh-CN" w:bidi="ar-SA"/>
              </w:rPr>
              <w:t>安全生产</w:t>
            </w:r>
            <w:bookmarkStart w:id="0" w:name="_GoBack"/>
            <w:bookmarkEnd w:id="0"/>
            <w:r>
              <w:rPr>
                <w:rFonts w:hint="eastAsia" w:ascii="宋体" w:hAnsi="宋体" w:eastAsia="宋体" w:cs="宋体"/>
                <w:b/>
                <w:bCs/>
                <w:sz w:val="28"/>
                <w:szCs w:val="28"/>
                <w:vertAlign w:val="baseline"/>
                <w:lang w:val="en-US" w:eastAsia="zh-CN" w:bidi="ar-SA"/>
              </w:rPr>
              <w:t>衍以活动</w:t>
            </w:r>
          </w:p>
        </w:tc>
        <w:tc>
          <w:tcPr>
            <w:tcW w:w="5580" w:type="dxa"/>
            <w:vAlign w:val="top"/>
          </w:tcPr>
          <w:p>
            <w:pPr>
              <w:keepNext w:val="0"/>
              <w:keepLines w:val="0"/>
              <w:pageBreakBefore w:val="0"/>
              <w:widowControl w:val="0"/>
              <w:kinsoku/>
              <w:wordWrap/>
              <w:overflowPunct/>
              <w:topLinePunct w:val="0"/>
              <w:autoSpaceDE/>
              <w:autoSpaceDN/>
              <w:adjustRightInd/>
              <w:snapToGrid w:val="0"/>
              <w:spacing w:line="360" w:lineRule="auto"/>
              <w:ind w:left="140" w:hanging="140" w:hangingChars="50"/>
              <w:rPr>
                <w:rFonts w:hint="eastAsia" w:ascii="宋体" w:hAnsi="宋体" w:eastAsia="宋体" w:cs="宋体"/>
                <w:sz w:val="28"/>
                <w:szCs w:val="28"/>
                <w:lang w:val="en-US" w:eastAsia="zh-CN" w:bidi="ar-SA"/>
              </w:rPr>
            </w:pPr>
            <w:r>
              <w:rPr>
                <w:rFonts w:hint="eastAsia" w:ascii="宋体" w:hAnsi="宋体" w:eastAsia="宋体" w:cs="宋体"/>
                <w:kern w:val="0"/>
                <w:sz w:val="28"/>
                <w:szCs w:val="28"/>
                <w:lang w:eastAsia="zh-CN" w:bidi="ar-SA"/>
              </w:rPr>
              <w:t>开展新《安全生产法》宣贯活动，督促率一责任人守法履职，</w:t>
            </w:r>
            <w:r>
              <w:rPr>
                <w:rFonts w:hint="eastAsia" w:ascii="宋体" w:hAnsi="宋体" w:eastAsia="宋体" w:cs="宋体"/>
                <w:sz w:val="28"/>
                <w:szCs w:val="28"/>
                <w:lang w:val="en-US" w:eastAsia="zh-CN" w:bidi="ar-SA"/>
              </w:rPr>
              <w:t>调动员工参与监督企业和主要负责人落实安全生产责任的主动性和自觉性。</w:t>
            </w:r>
          </w:p>
          <w:p>
            <w:pPr>
              <w:rPr>
                <w:rFonts w:hint="eastAsia" w:ascii="宋体" w:hAnsi="宋体" w:eastAsia="宋体" w:cs="宋体"/>
                <w:sz w:val="28"/>
                <w:szCs w:val="28"/>
                <w:vertAlign w:val="baseline"/>
                <w:lang w:val="en-US" w:eastAsia="zh-CN" w:bidi="ar-SA"/>
              </w:rPr>
            </w:pPr>
          </w:p>
        </w:tc>
        <w:tc>
          <w:tcPr>
            <w:tcW w:w="5060"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right="0" w:firstLine="0"/>
              <w:jc w:val="both"/>
              <w:textAlignment w:val="auto"/>
              <w:outlineLvl w:val="9"/>
              <w:rPr>
                <w:rFonts w:hint="eastAsia" w:ascii="宋体" w:hAnsi="宋体" w:eastAsia="宋体" w:cs="宋体"/>
                <w:sz w:val="28"/>
                <w:szCs w:val="28"/>
                <w:vertAlign w:val="baseline"/>
                <w:lang w:val="en-US" w:eastAsia="zh-CN" w:bidi="ar-SA"/>
              </w:rPr>
            </w:pPr>
            <w:r>
              <w:rPr>
                <w:rFonts w:hint="eastAsia" w:ascii="宋体" w:hAnsi="宋体" w:eastAsia="宋体" w:cs="宋体"/>
                <w:kern w:val="0"/>
                <w:sz w:val="28"/>
                <w:szCs w:val="28"/>
                <w:lang w:eastAsia="zh-CN" w:bidi="ar-SA"/>
              </w:rPr>
              <w:t>组织开展人员急救援演练（）场，参加（）人次，</w:t>
            </w:r>
            <w:r>
              <w:rPr>
                <w:rFonts w:hint="eastAsia" w:ascii="宋体" w:hAnsi="宋体" w:eastAsia="宋体" w:cs="宋体"/>
                <w:sz w:val="28"/>
                <w:szCs w:val="28"/>
                <w:lang w:val="en-US" w:eastAsia="zh-CN" w:bidi="ar-SA"/>
              </w:rPr>
              <w:t>辅导培训交流</w:t>
            </w:r>
            <w:r>
              <w:rPr>
                <w:rFonts w:hint="eastAsia" w:ascii="宋体" w:hAnsi="宋体" w:eastAsia="宋体" w:cs="宋体"/>
                <w:sz w:val="28"/>
                <w:szCs w:val="28"/>
                <w:vertAlign w:val="baseline"/>
                <w:lang w:val="en-US" w:eastAsia="zh-CN" w:bidi="ar-SA"/>
              </w:rPr>
              <w:t>（）场，参加（）人次；参与倡议书活动（）场，参与（）人次；</w:t>
            </w:r>
          </w:p>
          <w:p>
            <w:pPr>
              <w:keepNext w:val="0"/>
              <w:keepLines w:val="0"/>
              <w:pageBreakBefore w:val="0"/>
              <w:widowControl w:val="0"/>
              <w:kinsoku/>
              <w:wordWrap/>
              <w:overflowPunct/>
              <w:topLinePunct w:val="0"/>
              <w:autoSpaceDE/>
              <w:autoSpaceDN/>
              <w:bidi w:val="0"/>
              <w:adjustRightInd/>
              <w:snapToGrid/>
              <w:spacing w:line="480" w:lineRule="exact"/>
              <w:ind w:left="0" w:right="0" w:firstLine="0"/>
              <w:jc w:val="both"/>
              <w:textAlignment w:val="auto"/>
              <w:outlineLvl w:val="9"/>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企业主体责任落实不到位</w:t>
            </w:r>
            <w:r>
              <w:rPr>
                <w:rFonts w:hint="eastAsia" w:ascii="宋体" w:hAnsi="宋体" w:eastAsia="宋体" w:cs="宋体"/>
                <w:sz w:val="28"/>
                <w:szCs w:val="28"/>
                <w:vertAlign w:val="baseline"/>
                <w:lang w:val="en-US" w:eastAsia="zh-CN" w:bidi="ar-SA"/>
              </w:rPr>
              <w:t>（）次，</w:t>
            </w:r>
            <w:r>
              <w:rPr>
                <w:rFonts w:hint="eastAsia" w:ascii="宋体" w:hAnsi="宋体" w:eastAsia="宋体" w:cs="宋体"/>
                <w:sz w:val="28"/>
                <w:szCs w:val="28"/>
                <w:lang w:bidi="ar-SA"/>
              </w:rPr>
              <w:t>存在违法发包、转包、违法分包、挂靠和不履行基本建设程序等违法违规行为执法</w:t>
            </w:r>
            <w:r>
              <w:rPr>
                <w:rFonts w:hint="eastAsia" w:ascii="宋体" w:hAnsi="宋体" w:eastAsia="宋体" w:cs="宋体"/>
                <w:sz w:val="28"/>
                <w:szCs w:val="28"/>
                <w:lang w:val="en-US" w:eastAsia="zh-CN" w:bidi="ar-SA"/>
              </w:rPr>
              <w:t>案例</w:t>
            </w:r>
            <w:r>
              <w:rPr>
                <w:rFonts w:hint="eastAsia" w:ascii="宋体" w:hAnsi="宋体" w:eastAsia="宋体" w:cs="宋体"/>
                <w:sz w:val="28"/>
                <w:szCs w:val="28"/>
                <w:vertAlign w:val="baseline"/>
                <w:lang w:val="en-US" w:eastAsia="zh-CN" w:bidi="ar-SA"/>
              </w:rPr>
              <w:t>（）次；</w:t>
            </w:r>
            <w:r>
              <w:rPr>
                <w:rFonts w:hint="eastAsia" w:ascii="宋体" w:hAnsi="宋体" w:eastAsia="宋体" w:cs="宋体"/>
                <w:sz w:val="28"/>
                <w:szCs w:val="28"/>
                <w:lang w:val="en-US" w:eastAsia="zh-CN" w:bidi="ar-SA"/>
              </w:rPr>
              <w:t>安全生产行刑衔接的典型案例（）个</w:t>
            </w:r>
          </w:p>
          <w:p>
            <w:pPr>
              <w:keepNext w:val="0"/>
              <w:keepLines w:val="0"/>
              <w:pageBreakBefore w:val="0"/>
              <w:widowControl w:val="0"/>
              <w:kinsoku/>
              <w:wordWrap/>
              <w:overflowPunct/>
              <w:topLinePunct w:val="0"/>
              <w:autoSpaceDE/>
              <w:autoSpaceDN/>
              <w:bidi w:val="0"/>
              <w:adjustRightInd/>
              <w:snapToGrid/>
              <w:spacing w:line="480" w:lineRule="exact"/>
              <w:ind w:left="0" w:right="0" w:firstLine="0"/>
              <w:jc w:val="both"/>
              <w:textAlignment w:val="auto"/>
              <w:outlineLvl w:val="9"/>
              <w:rPr>
                <w:rFonts w:hint="eastAsia" w:ascii="宋体" w:hAnsi="宋体" w:eastAsia="宋体" w:cs="宋体"/>
                <w:sz w:val="28"/>
                <w:szCs w:val="28"/>
                <w:lang w:eastAsia="zh-CN" w:bidi="ar-SA"/>
              </w:rPr>
            </w:pPr>
            <w:r>
              <w:rPr>
                <w:rFonts w:hint="eastAsia" w:ascii="宋体" w:hAnsi="宋体" w:eastAsia="宋体" w:cs="宋体"/>
                <w:sz w:val="28"/>
                <w:szCs w:val="28"/>
                <w:lang w:bidi="ar-SA"/>
              </w:rPr>
              <w:t>“我是安全吹哨人”发现问题</w:t>
            </w:r>
            <w:r>
              <w:rPr>
                <w:rFonts w:hint="eastAsia" w:ascii="宋体" w:hAnsi="宋体" w:eastAsia="宋体" w:cs="宋体"/>
                <w:sz w:val="28"/>
                <w:szCs w:val="28"/>
                <w:lang w:eastAsia="zh-CN" w:bidi="ar-SA"/>
              </w:rPr>
              <w:t>（）项，</w:t>
            </w:r>
            <w:r>
              <w:rPr>
                <w:rFonts w:hint="eastAsia" w:ascii="宋体" w:hAnsi="宋体" w:eastAsia="宋体" w:cs="宋体"/>
                <w:sz w:val="28"/>
                <w:szCs w:val="28"/>
                <w:lang w:val="en-US" w:eastAsia="zh-CN" w:bidi="ar-SA"/>
              </w:rPr>
              <w:t>查找身边隐患”发现问题</w:t>
            </w:r>
            <w:r>
              <w:rPr>
                <w:rFonts w:hint="eastAsia" w:ascii="宋体" w:hAnsi="宋体" w:eastAsia="宋体" w:cs="宋体"/>
                <w:sz w:val="28"/>
                <w:szCs w:val="28"/>
                <w:lang w:eastAsia="zh-CN" w:bidi="ar-SA"/>
              </w:rPr>
              <w:t>（）项，</w:t>
            </w:r>
          </w:p>
          <w:p>
            <w:pPr>
              <w:keepNext w:val="0"/>
              <w:keepLines w:val="0"/>
              <w:pageBreakBefore w:val="0"/>
              <w:widowControl w:val="0"/>
              <w:kinsoku/>
              <w:wordWrap/>
              <w:overflowPunct/>
              <w:topLinePunct w:val="0"/>
              <w:autoSpaceDE/>
              <w:autoSpaceDN/>
              <w:bidi w:val="0"/>
              <w:adjustRightInd/>
              <w:snapToGrid/>
              <w:spacing w:line="480" w:lineRule="exact"/>
              <w:ind w:left="0" w:right="0" w:firstLine="0"/>
              <w:jc w:val="both"/>
              <w:textAlignment w:val="auto"/>
              <w:outlineLvl w:val="9"/>
              <w:rPr>
                <w:rFonts w:hint="eastAsia" w:ascii="宋体" w:hAnsi="宋体" w:eastAsia="宋体" w:cs="宋体"/>
                <w:sz w:val="28"/>
                <w:szCs w:val="28"/>
                <w:lang w:eastAsia="zh-CN" w:bidi="ar-SA"/>
              </w:rPr>
            </w:pPr>
            <w:r>
              <w:rPr>
                <w:rFonts w:hint="eastAsia" w:ascii="宋体" w:hAnsi="宋体" w:eastAsia="宋体" w:cs="宋体"/>
                <w:sz w:val="28"/>
                <w:szCs w:val="28"/>
                <w:lang w:eastAsia="zh-CN" w:bidi="ar-SA"/>
              </w:rPr>
              <w:t>举报身边的风险隐患以及安全生产违法违规行为（）起，</w:t>
            </w:r>
          </w:p>
          <w:p>
            <w:pPr>
              <w:rPr>
                <w:rFonts w:hint="eastAsia" w:ascii="宋体" w:hAnsi="宋体" w:eastAsia="宋体" w:cs="宋体"/>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770" w:type="dxa"/>
            <w:vAlign w:val="top"/>
          </w:tcPr>
          <w:p>
            <w:pPr>
              <w:rPr>
                <w:rFonts w:hint="eastAsia" w:ascii="宋体" w:hAnsi="宋体" w:eastAsia="宋体" w:cs="宋体"/>
                <w:b/>
                <w:bCs/>
                <w:sz w:val="28"/>
                <w:szCs w:val="28"/>
                <w:vertAlign w:val="baseline"/>
                <w:lang w:val="en-US" w:eastAsia="zh-CN" w:bidi="ar-SA"/>
              </w:rPr>
            </w:pPr>
            <w:r>
              <w:rPr>
                <w:rFonts w:hint="eastAsia" w:ascii="宋体" w:hAnsi="宋体" w:eastAsia="宋体" w:cs="宋体"/>
                <w:b/>
                <w:bCs/>
                <w:kern w:val="0"/>
                <w:sz w:val="28"/>
                <w:szCs w:val="28"/>
                <w:lang w:eastAsia="zh-CN" w:bidi="ar-SA"/>
              </w:rPr>
              <w:t>“</w:t>
            </w:r>
            <w:r>
              <w:rPr>
                <w:rFonts w:hint="eastAsia" w:ascii="宋体" w:hAnsi="宋体" w:eastAsia="宋体" w:cs="宋体"/>
                <w:b/>
                <w:bCs/>
                <w:kern w:val="0"/>
                <w:sz w:val="28"/>
                <w:szCs w:val="28"/>
                <w:lang w:val="en-US" w:eastAsia="zh-CN" w:bidi="ar-SA"/>
              </w:rPr>
              <w:t>6.16</w:t>
            </w:r>
            <w:r>
              <w:rPr>
                <w:rFonts w:hint="eastAsia" w:ascii="宋体" w:hAnsi="宋体" w:eastAsia="宋体" w:cs="宋体"/>
                <w:b/>
                <w:bCs/>
                <w:kern w:val="0"/>
                <w:sz w:val="28"/>
                <w:szCs w:val="28"/>
                <w:lang w:eastAsia="zh-CN" w:bidi="ar-SA"/>
              </w:rPr>
              <w:t>安全宣传咨询日”和“五进”活动</w:t>
            </w:r>
          </w:p>
        </w:tc>
        <w:tc>
          <w:tcPr>
            <w:tcW w:w="5580" w:type="dxa"/>
            <w:vAlign w:val="top"/>
          </w:tcPr>
          <w:p>
            <w:pPr>
              <w:rPr>
                <w:rFonts w:hint="eastAsia" w:ascii="宋体" w:hAnsi="宋体" w:eastAsia="宋体" w:cs="宋体"/>
                <w:sz w:val="28"/>
                <w:szCs w:val="28"/>
                <w:vertAlign w:val="baseline"/>
                <w:lang w:val="en-US" w:eastAsia="zh-CN" w:bidi="ar-SA"/>
              </w:rPr>
            </w:pPr>
            <w:r>
              <w:rPr>
                <w:rFonts w:hint="eastAsia" w:ascii="宋体" w:hAnsi="宋体" w:eastAsia="宋体" w:cs="宋体"/>
                <w:sz w:val="28"/>
                <w:szCs w:val="28"/>
                <w:lang w:val="en-US" w:eastAsia="zh-CN" w:bidi="ar-SA"/>
              </w:rPr>
              <w:t>6..各级主管部门要充分利用“6.16安全宣传咨询日”和“五进”活动，组织开展线上线下相结合、形式多样的咨询活动，集中宣传安全生产政策法规、应急避险和自救互救方法，邀请有影响的公众人物、行业专家、媒体人员等开展“主播讲安全”“专家远程会诊”“美好生活从安全开始话题征集”“新安法知多少”等活动。</w:t>
            </w:r>
          </w:p>
        </w:tc>
        <w:tc>
          <w:tcPr>
            <w:tcW w:w="5060"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right="0" w:firstLine="0"/>
              <w:jc w:val="both"/>
              <w:textAlignment w:val="auto"/>
              <w:outlineLvl w:val="9"/>
              <w:rPr>
                <w:rFonts w:hint="eastAsia" w:ascii="宋体" w:hAnsi="宋体" w:eastAsia="宋体" w:cs="宋体"/>
                <w:sz w:val="28"/>
                <w:szCs w:val="28"/>
                <w:vertAlign w:val="baseline"/>
                <w:lang w:val="en-US" w:eastAsia="zh-CN" w:bidi="ar-SA"/>
              </w:rPr>
            </w:pPr>
            <w:r>
              <w:rPr>
                <w:rFonts w:hint="eastAsia" w:ascii="宋体" w:hAnsi="宋体" w:eastAsia="宋体" w:cs="宋体"/>
                <w:sz w:val="28"/>
                <w:szCs w:val="28"/>
                <w:lang w:bidi="ar-SA"/>
              </w:rPr>
              <w:t>开展“主播讲安全”“专家远程会诊”活动</w:t>
            </w:r>
            <w:r>
              <w:rPr>
                <w:rFonts w:hint="eastAsia" w:ascii="宋体" w:hAnsi="宋体" w:eastAsia="宋体" w:cs="宋体"/>
                <w:sz w:val="28"/>
                <w:szCs w:val="28"/>
                <w:lang w:eastAsia="zh-CN" w:bidi="ar-SA"/>
              </w:rPr>
              <w:t>（）场</w:t>
            </w:r>
            <w:r>
              <w:rPr>
                <w:rFonts w:hint="eastAsia" w:ascii="宋体" w:hAnsi="宋体" w:eastAsia="宋体" w:cs="宋体"/>
                <w:sz w:val="28"/>
                <w:szCs w:val="28"/>
                <w:lang w:bidi="ar-SA"/>
              </w:rPr>
              <w:t>，</w:t>
            </w:r>
            <w:r>
              <w:rPr>
                <w:rFonts w:hint="eastAsia" w:ascii="宋体" w:hAnsi="宋体" w:eastAsia="宋体" w:cs="宋体"/>
                <w:sz w:val="28"/>
                <w:szCs w:val="28"/>
                <w:lang w:eastAsia="zh-CN" w:bidi="ar-SA"/>
              </w:rPr>
              <w:t>参与（）人次；</w:t>
            </w:r>
            <w:r>
              <w:rPr>
                <w:rFonts w:hint="eastAsia" w:ascii="宋体" w:hAnsi="宋体" w:eastAsia="宋体" w:cs="宋体"/>
                <w:sz w:val="28"/>
                <w:szCs w:val="28"/>
                <w:lang w:val="en-US" w:eastAsia="zh-CN" w:bidi="ar-SA"/>
              </w:rPr>
              <w:t>“美好生活从安全开始话题征集”</w:t>
            </w:r>
            <w:r>
              <w:rPr>
                <w:rFonts w:hint="eastAsia" w:ascii="宋体" w:hAnsi="宋体" w:eastAsia="宋体" w:cs="宋体"/>
                <w:sz w:val="28"/>
                <w:szCs w:val="28"/>
                <w:lang w:bidi="ar-SA"/>
              </w:rPr>
              <w:t>活动</w:t>
            </w:r>
            <w:r>
              <w:rPr>
                <w:rFonts w:hint="eastAsia" w:ascii="宋体" w:hAnsi="宋体" w:eastAsia="宋体" w:cs="宋体"/>
                <w:sz w:val="28"/>
                <w:szCs w:val="28"/>
                <w:lang w:eastAsia="zh-CN" w:bidi="ar-SA"/>
              </w:rPr>
              <w:t>（）场</w:t>
            </w:r>
            <w:r>
              <w:rPr>
                <w:rFonts w:hint="eastAsia" w:ascii="宋体" w:hAnsi="宋体" w:eastAsia="宋体" w:cs="宋体"/>
                <w:sz w:val="28"/>
                <w:szCs w:val="28"/>
                <w:lang w:bidi="ar-SA"/>
              </w:rPr>
              <w:t>。参与（）人次；</w:t>
            </w:r>
            <w:r>
              <w:rPr>
                <w:rFonts w:hint="eastAsia" w:ascii="宋体" w:hAnsi="宋体" w:eastAsia="宋体" w:cs="宋体"/>
                <w:sz w:val="28"/>
                <w:szCs w:val="28"/>
                <w:lang w:val="en-US" w:eastAsia="zh-CN" w:bidi="ar-SA"/>
              </w:rPr>
              <w:t>“新安法知多少”等活动</w:t>
            </w:r>
            <w:r>
              <w:rPr>
                <w:rFonts w:hint="eastAsia" w:ascii="宋体" w:hAnsi="宋体" w:eastAsia="宋体" w:cs="宋体"/>
                <w:sz w:val="28"/>
                <w:szCs w:val="28"/>
                <w:lang w:eastAsia="zh-CN" w:bidi="ar-SA"/>
              </w:rPr>
              <w:t>（）场，参与（）人次；</w:t>
            </w:r>
            <w:r>
              <w:rPr>
                <w:rFonts w:hint="eastAsia" w:ascii="宋体" w:hAnsi="宋体" w:eastAsia="宋体" w:cs="宋体"/>
                <w:sz w:val="28"/>
                <w:szCs w:val="28"/>
                <w:lang w:val="en-US" w:eastAsia="zh-CN" w:bidi="ar-SA"/>
              </w:rPr>
              <w:t>制作新媒体应急科普作品和宣教作品</w:t>
            </w:r>
            <w:r>
              <w:rPr>
                <w:rFonts w:hint="eastAsia" w:ascii="宋体" w:hAnsi="宋体" w:eastAsia="宋体" w:cs="宋体"/>
                <w:sz w:val="28"/>
                <w:szCs w:val="28"/>
                <w:lang w:eastAsia="zh-CN" w:bidi="ar-SA"/>
              </w:rPr>
              <w:t>（）个，</w:t>
            </w:r>
            <w:r>
              <w:rPr>
                <w:rFonts w:hint="eastAsia" w:ascii="宋体" w:hAnsi="宋体" w:eastAsia="宋体" w:cs="宋体"/>
                <w:sz w:val="28"/>
                <w:szCs w:val="28"/>
                <w:lang w:bidi="ar-SA"/>
              </w:rPr>
              <w:t>知识竞赛</w:t>
            </w:r>
            <w:r>
              <w:rPr>
                <w:rFonts w:hint="eastAsia" w:ascii="宋体" w:hAnsi="宋体" w:eastAsia="宋体" w:cs="宋体"/>
                <w:sz w:val="28"/>
                <w:szCs w:val="28"/>
                <w:lang w:eastAsia="zh-CN" w:bidi="ar-SA"/>
              </w:rPr>
              <w:t>（）人次</w:t>
            </w:r>
            <w:r>
              <w:rPr>
                <w:rFonts w:hint="eastAsia" w:ascii="宋体" w:hAnsi="宋体" w:eastAsia="宋体" w:cs="宋体"/>
                <w:sz w:val="28"/>
                <w:szCs w:val="28"/>
                <w:lang w:bidi="ar-SA"/>
              </w:rPr>
              <w:t>。</w:t>
            </w:r>
            <w:r>
              <w:rPr>
                <w:rFonts w:hint="eastAsia" w:ascii="宋体" w:hAnsi="宋体" w:eastAsia="宋体" w:cs="宋体"/>
                <w:sz w:val="28"/>
                <w:szCs w:val="28"/>
                <w:lang w:val="en-US" w:eastAsia="zh-CN" w:bidi="ar-SA"/>
              </w:rPr>
              <w:t>利用各种传播载体（平台）开展展播</w:t>
            </w:r>
            <w:r>
              <w:rPr>
                <w:rFonts w:hint="eastAsia" w:ascii="宋体" w:hAnsi="宋体" w:eastAsia="宋体" w:cs="宋体"/>
                <w:sz w:val="28"/>
                <w:szCs w:val="28"/>
                <w:lang w:eastAsia="zh-CN" w:bidi="ar-SA"/>
              </w:rPr>
              <w:t>（）部，播放（）次，宣传受众（）人次。</w:t>
            </w:r>
            <w:r>
              <w:rPr>
                <w:rFonts w:hint="eastAsia" w:ascii="宋体" w:hAnsi="宋体" w:eastAsia="宋体" w:cs="宋体"/>
                <w:sz w:val="28"/>
                <w:szCs w:val="28"/>
                <w:vertAlign w:val="baseline"/>
                <w:lang w:val="en-US" w:eastAsia="zh-CN" w:bidi="ar-SA"/>
              </w:rPr>
              <w:t>进企业活动（）场，参与（）人次；进农村活动（）场，参与（）人次；进农社区活动（）场，参与（）人次；进学校活动（）场，参与（）人次；进家庭活动（）场，参与（）人次。</w:t>
            </w:r>
          </w:p>
          <w:p>
            <w:pPr>
              <w:keepNext w:val="0"/>
              <w:keepLines w:val="0"/>
              <w:pageBreakBefore w:val="0"/>
              <w:widowControl w:val="0"/>
              <w:kinsoku/>
              <w:wordWrap/>
              <w:overflowPunct/>
              <w:topLinePunct w:val="0"/>
              <w:autoSpaceDE/>
              <w:autoSpaceDN/>
              <w:bidi w:val="0"/>
              <w:adjustRightInd/>
              <w:snapToGrid/>
              <w:spacing w:line="480" w:lineRule="exact"/>
              <w:ind w:left="0" w:right="0" w:firstLine="0"/>
              <w:jc w:val="both"/>
              <w:textAlignment w:val="auto"/>
              <w:outlineLvl w:val="9"/>
              <w:rPr>
                <w:rFonts w:hint="eastAsia" w:ascii="宋体" w:hAnsi="宋体" w:eastAsia="宋体" w:cs="宋体"/>
                <w:sz w:val="28"/>
                <w:szCs w:val="28"/>
                <w:lang w:eastAsia="zh-CN" w:bidi="ar-SA"/>
              </w:rPr>
            </w:pPr>
          </w:p>
          <w:p>
            <w:pPr>
              <w:rPr>
                <w:rFonts w:hint="eastAsia" w:ascii="宋体" w:hAnsi="宋体" w:eastAsia="宋体" w:cs="宋体"/>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2770" w:type="dxa"/>
            <w:vAlign w:val="top"/>
          </w:tcPr>
          <w:p>
            <w:pPr>
              <w:rPr>
                <w:rFonts w:hint="eastAsia" w:ascii="宋体" w:hAnsi="宋体" w:eastAsia="宋体" w:cs="宋体"/>
                <w:sz w:val="28"/>
                <w:szCs w:val="28"/>
                <w:vertAlign w:val="baseline"/>
                <w:lang w:val="en-US" w:eastAsia="zh-CN" w:bidi="ar-SA"/>
              </w:rPr>
            </w:pPr>
            <w:r>
              <w:rPr>
                <w:rFonts w:hint="eastAsia" w:ascii="宋体" w:hAnsi="宋体" w:eastAsia="宋体" w:cs="宋体"/>
                <w:sz w:val="28"/>
                <w:szCs w:val="28"/>
                <w:vertAlign w:val="baseline"/>
                <w:lang w:val="en-US" w:eastAsia="zh-CN" w:bidi="ar-SA"/>
              </w:rPr>
              <w:t>排查风险隐患，推动预防机制建设</w:t>
            </w:r>
          </w:p>
        </w:tc>
        <w:tc>
          <w:tcPr>
            <w:tcW w:w="5580" w:type="dxa"/>
            <w:vAlign w:val="top"/>
          </w:tcPr>
          <w:p>
            <w:pPr>
              <w:keepNext w:val="0"/>
              <w:keepLines w:val="0"/>
              <w:pageBreakBefore w:val="0"/>
              <w:widowControl w:val="0"/>
              <w:kinsoku/>
              <w:wordWrap/>
              <w:overflowPunct/>
              <w:topLinePunct w:val="0"/>
              <w:autoSpaceDE/>
              <w:autoSpaceDN/>
              <w:adjustRightInd/>
              <w:snapToGrid w:val="0"/>
              <w:spacing w:line="360" w:lineRule="auto"/>
              <w:jc w:val="left"/>
              <w:rPr>
                <w:rFonts w:hint="eastAsia" w:ascii="宋体" w:hAnsi="宋体" w:eastAsia="宋体" w:cs="宋体"/>
                <w:kern w:val="0"/>
                <w:sz w:val="28"/>
                <w:szCs w:val="28"/>
                <w:lang w:bidi="ar-SA"/>
              </w:rPr>
            </w:pPr>
            <w:r>
              <w:rPr>
                <w:rFonts w:hint="eastAsia" w:ascii="宋体" w:hAnsi="宋体" w:eastAsia="宋体" w:cs="宋体"/>
                <w:sz w:val="28"/>
                <w:szCs w:val="28"/>
                <w:lang w:eastAsia="zh-CN" w:bidi="ar-SA"/>
              </w:rPr>
              <w:t>，动员企事业单位广泛发动企业员工，开展“隐患排查显微镜”“查找身边隐患”“专项整治纠察员”等活动，积极举报身边的风险隐患以及安全生产违法违规行为，推动企业对重点部位、关键环节进行全面深入排查整治</w:t>
            </w:r>
            <w:r>
              <w:rPr>
                <w:rFonts w:hint="eastAsia" w:ascii="宋体" w:hAnsi="宋体" w:eastAsia="宋体" w:cs="宋体"/>
                <w:kern w:val="0"/>
                <w:sz w:val="28"/>
                <w:szCs w:val="28"/>
                <w:lang w:bidi="ar-SA"/>
              </w:rPr>
              <w:t>，不断完善事故隐患防控治理双重机制。</w:t>
            </w:r>
          </w:p>
        </w:tc>
        <w:tc>
          <w:tcPr>
            <w:tcW w:w="5060"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right="0" w:firstLine="0"/>
              <w:jc w:val="both"/>
              <w:textAlignment w:val="auto"/>
              <w:outlineLvl w:val="9"/>
              <w:rPr>
                <w:rFonts w:hint="eastAsia" w:ascii="宋体" w:hAnsi="宋体" w:eastAsia="宋体" w:cs="宋体"/>
                <w:sz w:val="28"/>
                <w:szCs w:val="28"/>
                <w:lang w:eastAsia="zh-CN" w:bidi="ar-SA"/>
              </w:rPr>
            </w:pPr>
            <w:r>
              <w:rPr>
                <w:rFonts w:hint="eastAsia" w:ascii="宋体" w:hAnsi="宋体" w:eastAsia="宋体" w:cs="宋体"/>
                <w:sz w:val="28"/>
                <w:szCs w:val="28"/>
                <w:lang w:eastAsia="zh-CN" w:bidi="ar-SA"/>
              </w:rPr>
              <w:t>曝光典型案例</w:t>
            </w:r>
            <w:r>
              <w:rPr>
                <w:rFonts w:hint="eastAsia" w:ascii="宋体" w:hAnsi="宋体" w:eastAsia="宋体" w:cs="宋体"/>
                <w:sz w:val="28"/>
                <w:szCs w:val="28"/>
                <w:vertAlign w:val="baseline"/>
                <w:lang w:val="en-US" w:eastAsia="zh-CN" w:bidi="ar-SA"/>
              </w:rPr>
              <w:t>（）个，开展应急演练（）场，参与（）人次；</w:t>
            </w:r>
            <w:r>
              <w:rPr>
                <w:rFonts w:hint="eastAsia" w:ascii="宋体" w:hAnsi="宋体" w:eastAsia="宋体" w:cs="宋体"/>
                <w:sz w:val="28"/>
                <w:szCs w:val="28"/>
                <w:lang w:bidi="ar-SA"/>
              </w:rPr>
              <w:t>开展“隐患排查显微镜”“查打身边隐患”“专项整治纠察员”等</w:t>
            </w:r>
            <w:r>
              <w:rPr>
                <w:rFonts w:hint="eastAsia" w:ascii="宋体" w:hAnsi="宋体" w:eastAsia="宋体" w:cs="宋体"/>
                <w:sz w:val="28"/>
                <w:szCs w:val="28"/>
                <w:lang w:eastAsia="zh-CN" w:bidi="ar-SA"/>
              </w:rPr>
              <w:t>活动（）场，参与（）人次。</w:t>
            </w:r>
          </w:p>
          <w:p>
            <w:pPr>
              <w:rPr>
                <w:rFonts w:hint="eastAsia" w:ascii="宋体" w:hAnsi="宋体" w:eastAsia="宋体" w:cs="宋体"/>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2770" w:type="dxa"/>
            <w:vAlign w:val="top"/>
          </w:tcPr>
          <w:p>
            <w:pPr>
              <w:rPr>
                <w:rFonts w:hint="eastAsia" w:ascii="宋体" w:hAnsi="宋体" w:eastAsia="宋体" w:cs="宋体"/>
                <w:sz w:val="28"/>
                <w:szCs w:val="28"/>
                <w:vertAlign w:val="baseline"/>
                <w:lang w:val="en-US" w:eastAsia="zh-CN" w:bidi="ar-SA"/>
              </w:rPr>
            </w:pPr>
            <w:r>
              <w:rPr>
                <w:rFonts w:hint="eastAsia" w:ascii="宋体" w:hAnsi="宋体" w:eastAsia="宋体" w:cs="宋体"/>
                <w:bCs/>
                <w:kern w:val="0"/>
                <w:sz w:val="28"/>
                <w:szCs w:val="28"/>
                <w:lang w:eastAsia="zh-CN" w:bidi="ar-SA"/>
              </w:rPr>
              <w:t>开展安全生产标准化示范工地考核工作</w:t>
            </w:r>
          </w:p>
        </w:tc>
        <w:tc>
          <w:tcPr>
            <w:tcW w:w="5580" w:type="dxa"/>
            <w:vAlign w:val="top"/>
          </w:tcPr>
          <w:p>
            <w:pPr>
              <w:keepNext w:val="0"/>
              <w:keepLines w:val="0"/>
              <w:pageBreakBefore w:val="0"/>
              <w:widowControl w:val="0"/>
              <w:kinsoku/>
              <w:wordWrap/>
              <w:overflowPunct/>
              <w:topLinePunct w:val="0"/>
              <w:autoSpaceDE/>
              <w:autoSpaceDN/>
              <w:adjustRightInd/>
              <w:snapToGrid w:val="0"/>
              <w:spacing w:line="360" w:lineRule="auto"/>
              <w:jc w:val="left"/>
              <w:rPr>
                <w:rFonts w:hint="eastAsia" w:ascii="宋体" w:hAnsi="宋体" w:eastAsia="宋体" w:cs="宋体"/>
                <w:sz w:val="28"/>
                <w:szCs w:val="28"/>
                <w:lang w:eastAsia="zh-CN" w:bidi="ar-SA"/>
              </w:rPr>
            </w:pPr>
            <w:r>
              <w:rPr>
                <w:rFonts w:hint="eastAsia" w:ascii="宋体" w:hAnsi="宋体" w:eastAsia="宋体" w:cs="宋体"/>
                <w:bCs/>
                <w:kern w:val="0"/>
                <w:sz w:val="28"/>
                <w:szCs w:val="28"/>
                <w:lang w:eastAsia="zh-CN" w:bidi="ar-SA"/>
              </w:rPr>
              <w:t>开展安全生产标准化示范工地考核工作</w:t>
            </w:r>
          </w:p>
        </w:tc>
        <w:tc>
          <w:tcPr>
            <w:tcW w:w="5060" w:type="dxa"/>
            <w:vAlign w:val="top"/>
          </w:tcPr>
          <w:p>
            <w:pPr>
              <w:keepNext w:val="0"/>
              <w:keepLines w:val="0"/>
              <w:pageBreakBefore w:val="0"/>
              <w:widowControl w:val="0"/>
              <w:kinsoku/>
              <w:wordWrap/>
              <w:overflowPunct/>
              <w:topLinePunct w:val="0"/>
              <w:autoSpaceDE/>
              <w:autoSpaceDN/>
              <w:adjustRightInd/>
              <w:snapToGrid/>
              <w:spacing w:line="480" w:lineRule="exact"/>
              <w:rPr>
                <w:rFonts w:hint="eastAsia" w:ascii="宋体" w:hAnsi="宋体" w:eastAsia="宋体" w:cs="宋体"/>
                <w:bCs/>
                <w:kern w:val="0"/>
                <w:sz w:val="28"/>
                <w:szCs w:val="28"/>
                <w:lang w:eastAsia="zh-CN" w:bidi="ar-SA"/>
              </w:rPr>
            </w:pPr>
            <w:r>
              <w:rPr>
                <w:rFonts w:hint="eastAsia" w:ascii="宋体" w:hAnsi="宋体" w:eastAsia="宋体" w:cs="宋体"/>
                <w:bCs/>
                <w:kern w:val="0"/>
                <w:sz w:val="28"/>
                <w:szCs w:val="28"/>
                <w:lang w:eastAsia="zh-CN" w:bidi="ar-SA"/>
              </w:rPr>
              <w:t>培育省级安全生产标准化示范工地（）项，市级示范工地（）项，</w:t>
            </w:r>
            <w:r>
              <w:rPr>
                <w:rFonts w:hint="eastAsia" w:ascii="宋体" w:hAnsi="宋体" w:eastAsia="宋体" w:cs="宋体"/>
                <w:kern w:val="0"/>
                <w:sz w:val="28"/>
                <w:szCs w:val="28"/>
                <w:lang w:eastAsia="zh-CN" w:bidi="ar-SA"/>
              </w:rPr>
              <w:t>示范工地观摩学习交流（）场，参与（）人次</w:t>
            </w:r>
            <w:r>
              <w:rPr>
                <w:rFonts w:hint="eastAsia" w:ascii="宋体" w:hAnsi="宋体" w:eastAsia="宋体" w:cs="宋体"/>
                <w:bCs/>
                <w:kern w:val="0"/>
                <w:sz w:val="28"/>
                <w:szCs w:val="28"/>
                <w:lang w:eastAsia="zh-CN" w:bidi="ar-SA"/>
              </w:rPr>
              <w:t>。</w:t>
            </w:r>
          </w:p>
          <w:p>
            <w:pPr>
              <w:keepNext w:val="0"/>
              <w:keepLines w:val="0"/>
              <w:pageBreakBefore w:val="0"/>
              <w:widowControl w:val="0"/>
              <w:kinsoku/>
              <w:wordWrap/>
              <w:overflowPunct/>
              <w:topLinePunct w:val="0"/>
              <w:autoSpaceDE/>
              <w:autoSpaceDN/>
              <w:adjustRightInd/>
              <w:snapToGrid/>
              <w:spacing w:line="480" w:lineRule="exact"/>
              <w:rPr>
                <w:rFonts w:hint="eastAsia" w:ascii="宋体" w:hAnsi="宋体" w:eastAsia="宋体" w:cs="宋体"/>
                <w:sz w:val="28"/>
                <w:szCs w:val="28"/>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2770" w:type="dxa"/>
            <w:vAlign w:val="top"/>
          </w:tcPr>
          <w:p>
            <w:pPr>
              <w:rPr>
                <w:rFonts w:hint="eastAsia" w:ascii="宋体" w:hAnsi="宋体" w:eastAsia="宋体" w:cs="宋体"/>
                <w:bCs/>
                <w:kern w:val="0"/>
                <w:sz w:val="28"/>
                <w:szCs w:val="28"/>
                <w:lang w:eastAsia="zh-CN" w:bidi="ar-SA"/>
              </w:rPr>
            </w:pPr>
            <w:r>
              <w:rPr>
                <w:rFonts w:hint="eastAsia" w:ascii="宋体" w:hAnsi="宋体" w:eastAsia="宋体" w:cs="宋体"/>
                <w:bCs/>
                <w:kern w:val="0"/>
                <w:sz w:val="28"/>
                <w:szCs w:val="28"/>
                <w:lang w:eastAsia="zh-CN" w:bidi="ar-SA"/>
              </w:rPr>
              <w:t>“安全生产辽沈行”活动</w:t>
            </w:r>
          </w:p>
        </w:tc>
        <w:tc>
          <w:tcPr>
            <w:tcW w:w="5580" w:type="dxa"/>
            <w:vAlign w:val="top"/>
          </w:tcPr>
          <w:p>
            <w:pPr>
              <w:keepNext w:val="0"/>
              <w:keepLines w:val="0"/>
              <w:pageBreakBefore w:val="0"/>
              <w:widowControl w:val="0"/>
              <w:kinsoku/>
              <w:wordWrap/>
              <w:overflowPunct/>
              <w:topLinePunct w:val="0"/>
              <w:autoSpaceDE/>
              <w:autoSpaceDN/>
              <w:adjustRightInd/>
              <w:snapToGrid w:val="0"/>
              <w:spacing w:line="360" w:lineRule="auto"/>
              <w:jc w:val="left"/>
              <w:rPr>
                <w:rFonts w:hint="eastAsia" w:ascii="宋体" w:hAnsi="宋体" w:eastAsia="宋体" w:cs="宋体"/>
                <w:bCs/>
                <w:kern w:val="0"/>
                <w:sz w:val="28"/>
                <w:szCs w:val="28"/>
                <w:lang w:eastAsia="zh-CN" w:bidi="ar-SA"/>
              </w:rPr>
            </w:pPr>
            <w:r>
              <w:rPr>
                <w:rFonts w:hint="eastAsia" w:ascii="宋体" w:hAnsi="宋体" w:eastAsia="宋体" w:cs="宋体"/>
                <w:kern w:val="0"/>
                <w:sz w:val="28"/>
                <w:szCs w:val="28"/>
                <w:lang w:val="en-US" w:eastAsia="zh-CN" w:bidi="ar-SA"/>
              </w:rPr>
              <w:t>及时报道工作进展成效，曝光突出问题，</w:t>
            </w:r>
            <w:r>
              <w:rPr>
                <w:rFonts w:hint="eastAsia" w:ascii="宋体" w:hAnsi="宋体" w:eastAsia="宋体" w:cs="宋体"/>
                <w:kern w:val="0"/>
                <w:sz w:val="28"/>
                <w:szCs w:val="28"/>
                <w:lang w:eastAsia="zh-CN" w:bidi="ar-SA"/>
              </w:rPr>
              <w:t>曝光敷衍应付、拖延误事以及责任不落实、整改不到位、建设程序不规范、监管不全面的负面案例</w:t>
            </w:r>
          </w:p>
        </w:tc>
        <w:tc>
          <w:tcPr>
            <w:tcW w:w="5060" w:type="dxa"/>
            <w:vAlign w:val="top"/>
          </w:tcPr>
          <w:p>
            <w:pPr>
              <w:keepNext w:val="0"/>
              <w:keepLines w:val="0"/>
              <w:pageBreakBefore w:val="0"/>
              <w:widowControl w:val="0"/>
              <w:kinsoku/>
              <w:wordWrap/>
              <w:overflowPunct/>
              <w:topLinePunct w:val="0"/>
              <w:autoSpaceDE/>
              <w:autoSpaceDN/>
              <w:adjustRightInd/>
              <w:snapToGrid/>
              <w:spacing w:line="480" w:lineRule="exact"/>
              <w:rPr>
                <w:rFonts w:hint="eastAsia" w:ascii="宋体" w:hAnsi="宋体" w:eastAsia="宋体" w:cs="宋体"/>
                <w:bCs/>
                <w:kern w:val="0"/>
                <w:sz w:val="28"/>
                <w:szCs w:val="28"/>
                <w:lang w:eastAsia="zh-CN" w:bidi="ar-SA"/>
              </w:rPr>
            </w:pPr>
            <w:r>
              <w:rPr>
                <w:rFonts w:hint="eastAsia" w:ascii="宋体" w:hAnsi="宋体" w:eastAsia="宋体" w:cs="宋体"/>
                <w:kern w:val="0"/>
                <w:sz w:val="28"/>
                <w:szCs w:val="28"/>
                <w:lang w:val="en-US" w:eastAsia="zh-CN" w:bidi="ar-SA"/>
              </w:rPr>
              <w:t>推广经验做法（）项，</w:t>
            </w:r>
            <w:r>
              <w:rPr>
                <w:rFonts w:hint="eastAsia" w:ascii="宋体" w:hAnsi="宋体" w:eastAsia="宋体" w:cs="宋体"/>
                <w:kern w:val="0"/>
                <w:sz w:val="28"/>
                <w:szCs w:val="28"/>
                <w:lang w:eastAsia="zh-CN" w:bidi="ar-SA"/>
              </w:rPr>
              <w:t>曝光敷衍应付、拖延误事以及责任不落实、整改不到位、建设程序不规范、监管不全面的负面案例（）项</w:t>
            </w:r>
          </w:p>
        </w:tc>
      </w:tr>
    </w:tbl>
    <w:p>
      <w:pPr>
        <w:rPr>
          <w:rFonts w:hint="eastAsia"/>
          <w:kern w:val="0"/>
        </w:rPr>
      </w:pPr>
    </w:p>
    <w:p/>
    <w:sectPr>
      <w:headerReference r:id="rId3" w:type="default"/>
      <w:footerReference r:id="rId4" w:type="default"/>
      <w:pgSz w:w="16838" w:h="11906" w:orient="landscape"/>
      <w:pgMar w:top="1803" w:right="1440" w:bottom="2123" w:left="1440"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h">
    <w:altName w:val="Segoe Print"/>
    <w:panose1 w:val="00000000000000000000"/>
    <w:charset w:val="00"/>
    <w:family w:val="auto"/>
    <w:pitch w:val="default"/>
    <w:sig w:usb0="00000000" w:usb1="00000000" w:usb2="00000000" w:usb3="00000000" w:csb0="00000000" w:csb1="00000000"/>
  </w:font>
  <w:font w:name="he">
    <w:altName w:val="Segoe Print"/>
    <w:panose1 w:val="00000000000000000000"/>
    <w:charset w:val="00"/>
    <w:family w:val="auto"/>
    <w:pitch w:val="default"/>
    <w:sig w:usb0="00000000" w:usb1="00000000" w:usb2="00000000" w:usb3="00000000" w:csb0="00000000" w:csb1="00000000"/>
  </w:font>
  <w:font w:name="hei">
    <w:altName w:val="Segoe Print"/>
    <w:panose1 w:val="00000000000000000000"/>
    <w:charset w:val="00"/>
    <w:family w:val="auto"/>
    <w:pitch w:val="default"/>
    <w:sig w:usb0="00000000" w:usb1="00000000" w:usb2="00000000" w:usb3="00000000" w:csb0="00000000" w:csb1="00000000"/>
  </w:font>
  <w:font w:name="he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
    <w:altName w:val="Segoe Print"/>
    <w:panose1 w:val="00000000000000000000"/>
    <w:charset w:val="00"/>
    <w:family w:val="auto"/>
    <w:pitch w:val="default"/>
    <w:sig w:usb0="00000000" w:usb1="00000000" w:usb2="00000000" w:usb3="00000000" w:csb0="00000000" w:csb1="00000000"/>
  </w:font>
  <w:font w:name="方正中等线简体">
    <w:panose1 w:val="02010601030101010101"/>
    <w:charset w:val="86"/>
    <w:family w:val="auto"/>
    <w:pitch w:val="default"/>
    <w:sig w:usb0="00000001" w:usb1="080E0000" w:usb2="00000000" w:usb3="00000000" w:csb0="00040000" w:csb1="00000000"/>
  </w:font>
  <w:font w:name="方正小宋">
    <w:altName w:val="宋体"/>
    <w:panose1 w:val="00000000000000000000"/>
    <w:charset w:val="00"/>
    <w:family w:val="auto"/>
    <w:pitch w:val="default"/>
    <w:sig w:usb0="00000000" w:usb1="00000000" w:usb2="00000000" w:usb3="00000000" w:csb0="00000000" w:csb1="00000000"/>
  </w:font>
  <w:font w:name="方正小">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方针">
    <w:altName w:val="Segoe Print"/>
    <w:panose1 w:val="00000000000000000000"/>
    <w:charset w:val="00"/>
    <w:family w:val="auto"/>
    <w:pitch w:val="default"/>
    <w:sig w:usb0="00000000" w:usb1="00000000" w:usb2="00000000" w:usb3="00000000" w:csb0="00000000" w:csb1="00000000"/>
  </w:font>
  <w:font w:name="方正小标">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system-ui">
    <w:altName w:val="Segoe Print"/>
    <w:panose1 w:val="00000000000000000000"/>
    <w:charset w:val="00"/>
    <w:family w:val="auto"/>
    <w:pitch w:val="default"/>
    <w:sig w:usb0="00000000" w:usb1="00000000" w:usb2="00000000" w:usb3="00000000" w:csb0="00000000" w:csb1="00000000"/>
  </w:font>
  <w:font w:name="方正大标宋_GBK">
    <w:altName w:val="宋体"/>
    <w:panose1 w:val="02000000000000000000"/>
    <w:charset w:val="86"/>
    <w:family w:val="script"/>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3.8pt;height:22.7pt;width:25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pStyle w:val="5"/>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- 1 -</w:t>
                </w:r>
                <w:r>
                  <w:rPr>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F185ED8"/>
    <w:rsid w:val="5F185ED8"/>
    <w:rsid w:val="63735A3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方正大标宋_GBK" w:hAnsi="方正大标宋_GBK" w:eastAsia="方正仿宋_GBK" w:cs="方正大标宋_GBK"/>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8">
    <w:name w:val="page number"/>
    <w:qFormat/>
    <w:uiPriority w:val="0"/>
  </w:style>
  <w:style w:type="character" w:styleId="9">
    <w:name w:val="Hyperlink"/>
    <w:qFormat/>
    <w:uiPriority w:val="0"/>
    <w:rPr>
      <w:color w:val="00000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2\&#36797;&#23425;&#30465;&#20303;&#25151;&#21644;&#22478;&#20065;&#24314;&#35774;&#21381;&#20851;&#20110;&#24320;&#23637;2022&#24180;&#20840;&#30465;&#20303;&#24314;&#35774;&#31995;&#3247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辽宁省住房和城乡建设厅关于开展2022年全省住建设系统.dot</Template>
  <Pages>14</Pages>
  <Words>4927</Words>
  <Characters>5027</Characters>
  <Lines>0</Lines>
  <Paragraphs>0</Paragraphs>
  <TotalTime>0</TotalTime>
  <ScaleCrop>false</ScaleCrop>
  <LinksUpToDate>false</LinksUpToDate>
  <CharactersWithSpaces>5136</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2022-05-24T06:42:00Z</dcterms:created>
  <dc:creator>TAIYANG</dc:creator>
  <cp:lastModifiedBy>bgsdy</cp:lastModifiedBy>
  <dcterms:modified xsi:type="dcterms:W3CDTF">2024-11-01T01:10:52Z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158B78E2CA8D4D2EB2A2129E26F5BC2B</vt:lpwstr>
  </property>
  <property fmtid="{D5CDD505-2E9C-101B-9397-08002B2CF9AE}" pid="3" name="KSOProductBuildVer">
    <vt:lpwstr>2052-10.8.0.5988</vt:lpwstr>
  </property>
</Properties>
</file>